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8F4D5EA" w14:textId="77777777">
      <w:pPr>
        <w:pStyle w:val="Title"/>
        <w:rPr>
          <w:caps w:val="0"/>
          <w:kern w:val="0"/>
        </w:rPr>
      </w:pPr>
      <w:r w:rsidRPr="002F6A28">
        <w:rPr>
          <w:caps w:val="0"/>
          <w:kern w:val="0"/>
        </w:rPr>
        <w:t>NOTIFICATION</w:t>
      </w:r>
    </w:p>
    <w:p w:rsidR="009239F7" w:rsidRPr="002F6A28" w:rsidP="002F6A28" w14:paraId="33BF354B" w14:textId="77777777">
      <w:pPr>
        <w:jc w:val="center"/>
      </w:pPr>
      <w:r w:rsidRPr="002F6A28">
        <w:t>The following notification is being circulated in accordance with Article 10.6</w:t>
      </w:r>
    </w:p>
    <w:p w:rsidR="009239F7" w:rsidRPr="002F6A28" w:rsidP="002F6A28" w14:paraId="496C5C6E"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769DE0F" w14:textId="77777777" w:rsidTr="00DB13FE">
        <w:tblPrEx>
          <w:tblW w:w="5000" w:type="pct"/>
          <w:tblLayout w:type="fixed"/>
          <w:tblLook w:val="0000"/>
        </w:tblPrEx>
        <w:tc>
          <w:tcPr>
            <w:tcW w:w="607" w:type="dxa"/>
            <w:tcBorders>
              <w:top w:val="double" w:sz="4" w:space="0" w:color="auto"/>
            </w:tcBorders>
          </w:tcPr>
          <w:p w:rsidR="00F85C99" w:rsidRPr="002F6A28" w:rsidP="002F6A28" w14:paraId="5D22CE29"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B4BF1CF"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4B884FCA"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71EE655" w14:textId="77777777" w:rsidTr="00DB13FE">
        <w:tblPrEx>
          <w:tblW w:w="5000" w:type="pct"/>
          <w:tblLayout w:type="fixed"/>
          <w:tblLook w:val="0000"/>
        </w:tblPrEx>
        <w:tc>
          <w:tcPr>
            <w:tcW w:w="607" w:type="dxa"/>
          </w:tcPr>
          <w:p w:rsidR="00F85C99" w:rsidRPr="002F6A28" w:rsidP="002F6A28" w14:paraId="4378D1F2" w14:textId="77777777">
            <w:pPr>
              <w:spacing w:before="120" w:after="120"/>
              <w:jc w:val="left"/>
            </w:pPr>
            <w:r w:rsidRPr="002F6A28">
              <w:rPr>
                <w:b/>
              </w:rPr>
              <w:t>2.</w:t>
            </w:r>
          </w:p>
        </w:tc>
        <w:tc>
          <w:tcPr>
            <w:tcW w:w="8373" w:type="dxa"/>
          </w:tcPr>
          <w:p w:rsidR="00F85C99" w:rsidRPr="002F6A28" w:rsidP="000C3B6C" w14:paraId="0D1B0B5B" w14:textId="77777777">
            <w:pPr>
              <w:spacing w:before="120" w:after="120"/>
            </w:pPr>
            <w:r w:rsidRPr="002F6A28">
              <w:rPr>
                <w:b/>
              </w:rPr>
              <w:t>Agency responsible:</w:t>
            </w:r>
            <w:r w:rsidRPr="00C379C8" w:rsidR="00EE3A11">
              <w:t xml:space="preserve"> </w:t>
            </w:r>
          </w:p>
          <w:p w:rsidR="00EE3A11" w:rsidRPr="00C379C8" w:rsidP="000C3B6C" w14:paraId="618F5EC0" w14:textId="77777777">
            <w:r w:rsidRPr="00C379C8">
              <w:t>European Commission</w:t>
            </w:r>
          </w:p>
          <w:p w:rsidR="00EE3A11" w:rsidRPr="00C379C8" w:rsidP="000C3B6C" w14:paraId="5432CA89" w14:textId="77777777">
            <w:r w:rsidRPr="00C379C8">
              <w:t>EU-TBT Enquiry Point,</w:t>
            </w:r>
          </w:p>
          <w:p w:rsidR="00EE3A11" w:rsidRPr="00C379C8" w:rsidP="000C3B6C" w14:paraId="3B90BAFE" w14:textId="77777777">
            <w:r w:rsidRPr="00C379C8">
              <w:t>Fax: +(32) 2 299 80 43,</w:t>
            </w:r>
          </w:p>
          <w:p w:rsidR="00EE3A11" w:rsidRPr="00C379C8" w:rsidP="000C3B6C" w14:paraId="3A627838" w14:textId="77777777">
            <w:r w:rsidRPr="00C379C8">
              <w:t xml:space="preserve">E-mail: </w:t>
            </w:r>
            <w:hyperlink r:id="rId6" w:history="1">
              <w:r w:rsidRPr="00C379C8">
                <w:rPr>
                  <w:color w:val="0000FF"/>
                  <w:u w:val="single"/>
                </w:rPr>
                <w:t>grow-eu-tbt@ec.europa.eu</w:t>
              </w:r>
            </w:hyperlink>
          </w:p>
          <w:p w:rsidR="00EE3A11" w:rsidRPr="00C379C8" w:rsidP="000C3B6C" w14:paraId="6EAABCEE" w14:textId="77777777">
            <w:pPr>
              <w:spacing w:after="120"/>
            </w:pPr>
            <w:r w:rsidRPr="00C379C8">
              <w:t xml:space="preserve">Website: </w:t>
            </w:r>
            <w:hyperlink r:id="rId7" w:tgtFrame="_blank" w:history="1">
              <w:r w:rsidRPr="00C379C8">
                <w:rPr>
                  <w:color w:val="0000FF"/>
                  <w:u w:val="single"/>
                </w:rPr>
                <w:t>https://technical-barriers-trade.ec.europa.eu/en/home</w:t>
              </w:r>
            </w:hyperlink>
          </w:p>
        </w:tc>
      </w:tr>
      <w:tr w14:paraId="2FE4FA9C" w14:textId="77777777" w:rsidTr="00DB13FE">
        <w:tblPrEx>
          <w:tblW w:w="5000" w:type="pct"/>
          <w:tblLayout w:type="fixed"/>
          <w:tblLook w:val="0000"/>
        </w:tblPrEx>
        <w:tc>
          <w:tcPr>
            <w:tcW w:w="607" w:type="dxa"/>
          </w:tcPr>
          <w:p w:rsidR="00F85C99" w:rsidRPr="002F6A28" w:rsidP="002F6A28" w14:paraId="677705B2" w14:textId="77777777">
            <w:pPr>
              <w:spacing w:before="120" w:after="120"/>
              <w:jc w:val="left"/>
              <w:rPr>
                <w:b/>
              </w:rPr>
            </w:pPr>
            <w:r w:rsidRPr="002F6A28">
              <w:rPr>
                <w:b/>
              </w:rPr>
              <w:t>3.</w:t>
            </w:r>
          </w:p>
        </w:tc>
        <w:tc>
          <w:tcPr>
            <w:tcW w:w="8373" w:type="dxa"/>
          </w:tcPr>
          <w:p w:rsidR="00F85C99" w:rsidRPr="0058336F" w:rsidP="002F6A28" w14:paraId="5C226E0E"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3D4FE028" w14:textId="77777777" w:rsidTr="00DB13FE">
        <w:tblPrEx>
          <w:tblW w:w="5000" w:type="pct"/>
          <w:tblLayout w:type="fixed"/>
          <w:tblLook w:val="0000"/>
        </w:tblPrEx>
        <w:tc>
          <w:tcPr>
            <w:tcW w:w="607" w:type="dxa"/>
          </w:tcPr>
          <w:p w:rsidR="00F85C99" w:rsidRPr="002F6A28" w:rsidP="002F6A28" w14:paraId="7E6EFF3F" w14:textId="77777777">
            <w:pPr>
              <w:spacing w:before="120" w:after="120"/>
              <w:jc w:val="left"/>
            </w:pPr>
            <w:r w:rsidRPr="002F6A28">
              <w:rPr>
                <w:b/>
              </w:rPr>
              <w:t>4.</w:t>
            </w:r>
          </w:p>
        </w:tc>
        <w:tc>
          <w:tcPr>
            <w:tcW w:w="8373" w:type="dxa"/>
          </w:tcPr>
          <w:p w:rsidR="00F85C99" w:rsidRPr="002F6A28" w:rsidP="002F6A28" w14:paraId="03430628"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Phenmedipham (pesticide active substance)</w:t>
            </w:r>
          </w:p>
        </w:tc>
      </w:tr>
      <w:tr w14:paraId="441B17C2" w14:textId="77777777" w:rsidTr="00DB13FE">
        <w:tblPrEx>
          <w:tblW w:w="5000" w:type="pct"/>
          <w:tblLayout w:type="fixed"/>
          <w:tblLook w:val="0000"/>
        </w:tblPrEx>
        <w:tc>
          <w:tcPr>
            <w:tcW w:w="607" w:type="dxa"/>
          </w:tcPr>
          <w:p w:rsidR="00F85C99" w:rsidRPr="002F6A28" w:rsidP="002F6A28" w14:paraId="3C573E25" w14:textId="77777777">
            <w:pPr>
              <w:spacing w:before="120" w:after="120"/>
              <w:jc w:val="left"/>
            </w:pPr>
            <w:r w:rsidRPr="002F6A28">
              <w:rPr>
                <w:b/>
              </w:rPr>
              <w:t>5.</w:t>
            </w:r>
          </w:p>
        </w:tc>
        <w:tc>
          <w:tcPr>
            <w:tcW w:w="8373" w:type="dxa"/>
          </w:tcPr>
          <w:p w:rsidR="00F85C99" w:rsidP="002F6A28" w14:paraId="79F7D33A"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Commission Implementing Regulation concerning the non-renewal of the approval of the active substance phenmedipham in accordance with Regulation (EC) No 1107/2009 of the European Parliament and of the Council, and amending Commission Implementing Regulation (EU) No 540/2011; (7 page(s), in English)</w:t>
            </w:r>
          </w:p>
          <w:p w:rsidR="000C3B6C" w:rsidRPr="000C3B6C" w:rsidP="002F6A28" w14:paraId="336F4458"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4F53F6" w:rsidRPr="00CE6C29" w:rsidP="002F6A28" w14:paraId="4E9DA994" w14:textId="77777777">
            <w:pPr>
              <w:pBdr>
                <w:top w:val="none" w:sz="0" w:space="4" w:color="auto"/>
                <w:bottom w:val="none" w:sz="0" w:space="4" w:color="auto"/>
              </w:pBdr>
              <w:rPr>
                <w:iCs/>
              </w:rPr>
            </w:pPr>
            <w:hyperlink r:id="rId8" w:tgtFrame="_blank" w:history="1">
              <w:r w:rsidRPr="00CE6C29">
                <w:rPr>
                  <w:iCs/>
                  <w:color w:val="0000FF"/>
                  <w:u w:val="single"/>
                </w:rPr>
                <w:t>https://members.wto.org/crnattachments/2026/TBT/EEC/26_05568_00_e.pdf</w:t>
              </w:r>
            </w:hyperlink>
          </w:p>
          <w:p w:rsidR="004F53F6" w:rsidRPr="00493875" w:rsidP="002F6A28" w14:paraId="117F62CB" w14:textId="77777777">
            <w:pPr>
              <w:rPr>
                <w:iCs/>
                <w:lang w:val="fr-CH"/>
              </w:rPr>
            </w:pPr>
            <w:r w:rsidRPr="00493875">
              <w:rPr>
                <w:iCs/>
                <w:lang w:val="fr-CH"/>
              </w:rPr>
              <w:t>European Commission</w:t>
            </w:r>
          </w:p>
          <w:p w:rsidR="004F53F6" w:rsidRPr="00493875" w:rsidP="002F6A28" w14:paraId="5EFDB8EC" w14:textId="77777777">
            <w:pPr>
              <w:rPr>
                <w:iCs/>
                <w:lang w:val="fr-CH"/>
              </w:rPr>
            </w:pPr>
            <w:r w:rsidRPr="00493875">
              <w:rPr>
                <w:iCs/>
                <w:lang w:val="fr-CH"/>
              </w:rPr>
              <w:t>EU-TBT Enquiry Point</w:t>
            </w:r>
          </w:p>
          <w:p w:rsidR="004F53F6" w:rsidRPr="00493875" w:rsidP="002F6A28" w14:paraId="46AC11E5" w14:textId="77777777">
            <w:pPr>
              <w:rPr>
                <w:iCs/>
                <w:lang w:val="pt-PT"/>
              </w:rPr>
            </w:pPr>
            <w:r w:rsidRPr="00493875">
              <w:rPr>
                <w:iCs/>
                <w:lang w:val="pt-PT"/>
              </w:rPr>
              <w:t>Fax: + (32) 2 299 80 43</w:t>
            </w:r>
          </w:p>
          <w:p w:rsidR="004F53F6" w:rsidRPr="00493875" w:rsidP="002F6A28" w14:paraId="52376810" w14:textId="77777777">
            <w:pPr>
              <w:rPr>
                <w:iCs/>
                <w:lang w:val="pt-PT"/>
              </w:rPr>
            </w:pPr>
            <w:r w:rsidRPr="00493875">
              <w:rPr>
                <w:iCs/>
                <w:lang w:val="pt-PT"/>
              </w:rPr>
              <w:t xml:space="preserve">E-mail: </w:t>
            </w:r>
            <w:hyperlink r:id="rId6" w:history="1">
              <w:r w:rsidRPr="00493875">
                <w:rPr>
                  <w:iCs/>
                  <w:color w:val="0000FF"/>
                  <w:u w:val="single"/>
                  <w:lang w:val="pt-PT"/>
                </w:rPr>
                <w:t>grow-eu-tbt@ec.europa.eu</w:t>
              </w:r>
            </w:hyperlink>
          </w:p>
          <w:p w:rsidR="004F53F6" w:rsidRPr="00CE6C29" w:rsidP="002F6A28" w14:paraId="32A020E7" w14:textId="77777777">
            <w:pPr>
              <w:spacing w:after="120"/>
              <w:rPr>
                <w:iCs/>
              </w:rPr>
            </w:pPr>
            <w:r w:rsidRPr="00CE6C29">
              <w:rPr>
                <w:iCs/>
              </w:rPr>
              <w:t xml:space="preserve">The text is available on the Website: </w:t>
            </w:r>
            <w:hyperlink r:id="rId7" w:tgtFrame="_blank" w:history="1">
              <w:r w:rsidRPr="00CE6C29">
                <w:rPr>
                  <w:iCs/>
                  <w:color w:val="0000FF"/>
                  <w:u w:val="single"/>
                </w:rPr>
                <w:t>https://technical-barriers-trade.ec.europa.eu/en/home</w:t>
              </w:r>
            </w:hyperlink>
          </w:p>
        </w:tc>
      </w:tr>
      <w:tr w14:paraId="2A41C215" w14:textId="77777777" w:rsidTr="00DB13FE">
        <w:tblPrEx>
          <w:tblW w:w="5000" w:type="pct"/>
          <w:tblLayout w:type="fixed"/>
          <w:tblLook w:val="0000"/>
        </w:tblPrEx>
        <w:tc>
          <w:tcPr>
            <w:tcW w:w="607" w:type="dxa"/>
          </w:tcPr>
          <w:p w:rsidR="00F85C99" w:rsidRPr="002F6A28" w:rsidP="002F6A28" w14:paraId="5E6B3F26" w14:textId="77777777">
            <w:pPr>
              <w:spacing w:before="120" w:after="120"/>
              <w:jc w:val="left"/>
              <w:rPr>
                <w:b/>
              </w:rPr>
            </w:pPr>
            <w:r w:rsidRPr="002F6A28">
              <w:rPr>
                <w:b/>
              </w:rPr>
              <w:t>6.</w:t>
            </w:r>
          </w:p>
        </w:tc>
        <w:tc>
          <w:tcPr>
            <w:tcW w:w="8373" w:type="dxa"/>
          </w:tcPr>
          <w:p w:rsidR="00F85C99" w:rsidRPr="002F6A28" w:rsidP="002F6A28" w14:paraId="53626E31" w14:textId="77777777">
            <w:pPr>
              <w:spacing w:before="120" w:after="120"/>
              <w:rPr>
                <w:b/>
              </w:rPr>
            </w:pPr>
            <w:r w:rsidRPr="002F6A28">
              <w:rPr>
                <w:b/>
              </w:rPr>
              <w:t>Description of content:</w:t>
            </w:r>
            <w:r w:rsidRPr="00C379C8" w:rsidR="00FE448B">
              <w:t xml:space="preserve"> This draft Commission Implementing Regulation provides that the approval of the active substance phenmedipham is not renewed in accordance with Regulation (EC) No 1107/2009. Member States shall withdraw authorisations for plant protection products containing phenmedipham as an active substance. The non-renewal of approval is based on the first evaluation of the substance for use as a pesticide active substance in the EU under Regulation (EC) No 1107/2009. The substance was formerly assessed and approved under Directive 91/414/ EEC.</w:t>
            </w:r>
          </w:p>
          <w:p w:rsidR="00FE448B" w:rsidRPr="00C379C8" w:rsidP="002F6A28" w14:paraId="022A4265" w14:textId="77777777">
            <w:pPr>
              <w:spacing w:before="120" w:after="120"/>
            </w:pPr>
            <w:r w:rsidRPr="00C379C8">
              <w:t>This decision only concerns the placing on the market of this substance and plant protection products containing it. Following non-approval and the expiry of all grace periods for stocks of products containing this substance, separate action will be taken on MRLs and a separate notification will be made in accordance with SPS procedures.</w:t>
            </w:r>
          </w:p>
        </w:tc>
      </w:tr>
      <w:tr w14:paraId="3F5F75B0" w14:textId="77777777" w:rsidTr="00DB13FE">
        <w:tblPrEx>
          <w:tblW w:w="5000" w:type="pct"/>
          <w:tblLayout w:type="fixed"/>
          <w:tblLook w:val="0000"/>
        </w:tblPrEx>
        <w:tc>
          <w:tcPr>
            <w:tcW w:w="607" w:type="dxa"/>
          </w:tcPr>
          <w:p w:rsidR="00F85C99" w:rsidRPr="002F6A28" w:rsidP="002F6A28" w14:paraId="37BF6B9C" w14:textId="77777777">
            <w:pPr>
              <w:spacing w:before="120" w:after="120"/>
              <w:jc w:val="left"/>
              <w:rPr>
                <w:b/>
              </w:rPr>
            </w:pPr>
            <w:r w:rsidRPr="002F6A28">
              <w:rPr>
                <w:b/>
              </w:rPr>
              <w:t>7.</w:t>
            </w:r>
          </w:p>
        </w:tc>
        <w:tc>
          <w:tcPr>
            <w:tcW w:w="8373" w:type="dxa"/>
          </w:tcPr>
          <w:p w:rsidR="00F85C99" w:rsidRPr="002F6A28" w:rsidP="002F6A28" w14:paraId="45901132" w14:textId="77777777">
            <w:pPr>
              <w:spacing w:before="120" w:after="120"/>
              <w:rPr>
                <w:b/>
              </w:rPr>
            </w:pPr>
            <w:r w:rsidRPr="002F6A28">
              <w:rPr>
                <w:b/>
              </w:rPr>
              <w:t>Objective and rationale, including the nature of urgent problems where applicable:</w:t>
            </w:r>
            <w:r w:rsidRPr="00C379C8" w:rsidR="00EE3A11">
              <w:t xml:space="preserve"> In order for an active substance to be approved in accordance with Regulation (EC) No 1107/2009 (concerning the placing of plant protection products on the market), it must be demonstrated that the substance is not harmful to human health, animal health or the environment. Criteria are listed in Article 4 of the Regulation (and also detailed in Annex II thereto) which must be met to enable approval.</w:t>
            </w:r>
          </w:p>
          <w:p w:rsidR="00EE3A11" w:rsidRPr="00C379C8" w:rsidP="002F6A28" w14:paraId="42F0769E" w14:textId="77777777">
            <w:pPr>
              <w:spacing w:before="120" w:after="120"/>
            </w:pPr>
            <w:r w:rsidRPr="00C379C8">
              <w:t>During the evaluation and peer-review of phenmedipham, two critical areas of concerns and several areas that could not be finalised were identified. These are detailed in the conclusion of the European Food Safety Authority (EFSA): phenmedipham meets the criteria to be identified as an endocrine disruptor for the T-modality for non-target organisms other than mammals and effects at population level cannot be excluded and the technical specifications proposed by both applicants are not covered by the batches</w:t>
            </w:r>
            <w:r w:rsidRPr="00C379C8">
              <w:t xml:space="preserve"> used in the key toxicological studies. In addition, several parts of the risk assessment could not be finalised by EFSA, including the consumer risk assessment via dietary intake and the risk assessment to aquatic organisms (algae). The outcome of the risk assessment, as documented in the EFSA Conclusion, identifies twenty-one data gaps. Although the applicant, when commenting on the EFSA Conclusion, indicated that thirteen of the twenty-one data gaps could be solved in applications for the renewal of prod</w:t>
            </w:r>
            <w:r w:rsidRPr="00C379C8">
              <w:t>uct authorisations at Member State level, this is not possible because at least one safe use must be identified at the approval level (as confirmed by the ECJ in its recent judgement in case C-316/24 P on cypermethrin).</w:t>
            </w:r>
          </w:p>
          <w:p w:rsidR="00EE3A11" w:rsidRPr="00C379C8" w:rsidP="002F6A28" w14:paraId="1E0361DE" w14:textId="77777777">
            <w:pPr>
              <w:spacing w:before="120" w:after="120"/>
            </w:pPr>
            <w:r w:rsidRPr="00C379C8">
              <w:t>These concerns mean that phenmedipham does not meet the approval criteria as outlined in Regulation (EC) No 1107/2009 and therefore, the approval of phenmedipham should not be renewed for the use in plant protection products.</w:t>
            </w:r>
          </w:p>
          <w:p w:rsidR="00EE3A11" w:rsidRPr="00C379C8" w:rsidP="002F6A28" w14:paraId="02CE4CA8" w14:textId="77777777">
            <w:pPr>
              <w:spacing w:before="120" w:after="120"/>
            </w:pPr>
            <w:r w:rsidRPr="00C379C8">
              <w:t>Existing authorisations will need to be withdrawn; Member States must withdraw existing plant protection products containing phenmedipham at the latest by 6 months from the date of entry into force. A period of grace in line with Article 46 of Regulation 1107/2009 is allowed for and shall expire at the latest 12 months from the entry into force (allowing for a final season of use).; Protection of human health or safety; Protection of animal or plant life or health; Protection of the environment</w:t>
            </w:r>
          </w:p>
        </w:tc>
      </w:tr>
      <w:tr w14:paraId="52349913" w14:textId="77777777" w:rsidTr="00DB13FE">
        <w:tblPrEx>
          <w:tblW w:w="5000" w:type="pct"/>
          <w:tblLayout w:type="fixed"/>
          <w:tblLook w:val="0000"/>
        </w:tblPrEx>
        <w:tc>
          <w:tcPr>
            <w:tcW w:w="607" w:type="dxa"/>
          </w:tcPr>
          <w:p w:rsidR="00F85C99" w:rsidRPr="002F6A28" w:rsidP="009E75ED" w14:paraId="4C32C4AB" w14:textId="77777777">
            <w:pPr>
              <w:spacing w:before="120" w:after="120"/>
              <w:jc w:val="left"/>
              <w:rPr>
                <w:b/>
              </w:rPr>
            </w:pPr>
            <w:r w:rsidRPr="002F6A28">
              <w:rPr>
                <w:b/>
              </w:rPr>
              <w:t>8.</w:t>
            </w:r>
          </w:p>
        </w:tc>
        <w:tc>
          <w:tcPr>
            <w:tcW w:w="8373" w:type="dxa"/>
          </w:tcPr>
          <w:p w:rsidR="000C3B6C" w:rsidRPr="00EC00D2" w:rsidP="007F13E8" w14:paraId="52AFBBE5" w14:textId="77777777">
            <w:pPr>
              <w:spacing w:before="120" w:after="120"/>
              <w:rPr>
                <w:bCs/>
              </w:rPr>
            </w:pPr>
            <w:r w:rsidRPr="002F6A28">
              <w:rPr>
                <w:b/>
              </w:rPr>
              <w:t>Relevant documents:</w:t>
            </w:r>
            <w:r w:rsidRPr="002F6A28" w:rsidR="00EE3A11">
              <w:t xml:space="preserve"> </w:t>
            </w:r>
          </w:p>
          <w:p w:rsidR="00EE3A11" w:rsidRPr="002F6A28" w:rsidP="007F13E8" w14:paraId="3AC82FFC" w14:textId="77777777">
            <w:pPr>
              <w:spacing w:before="120" w:after="120"/>
            </w:pPr>
            <w:r w:rsidRPr="002F6A28">
              <w:t xml:space="preserve">Regulation (EC) No 1107/2009 of the European Parliament and of the Council of 21 October 2009 concerning the placing of plant protection products on the market and repealing Council Directives 79/117/EEC and 91/414/EEC: </w:t>
            </w:r>
            <w:hyperlink r:id="rId9" w:history="1">
              <w:r w:rsidRPr="002F6A28">
                <w:rPr>
                  <w:color w:val="0000FF"/>
                  <w:u w:val="single"/>
                </w:rPr>
                <w:t>http://eur-lex.europa.eu/legal-content/EN/TXT/PDF/?uri=CELEX:32009R1107&amp;qid=143773</w:t>
              </w:r>
              <w:r w:rsidRPr="002F6A28">
                <w:rPr>
                  <w:color w:val="0000FF"/>
                  <w:u w:val="single"/>
                </w:rPr>
                <w:t>0988988&amp;from=EN</w:t>
              </w:r>
            </w:hyperlink>
          </w:p>
          <w:p w:rsidR="00EE3A11" w:rsidRPr="002F6A28" w:rsidP="007F13E8" w14:paraId="2CE5B0B0" w14:textId="77777777">
            <w:pPr>
              <w:spacing w:before="120" w:after="120"/>
            </w:pPr>
            <w:r w:rsidRPr="002F6A28">
              <w:t>Commission Implementing Regulation (EU) No 540/2011 of 25 May 2011 implementing Regulation (EC) No 1107/2009 of the European Parliament and of the Council as regards the list of approved active substances (</w:t>
            </w:r>
            <w:r w:rsidRPr="002F6A28">
              <w:rPr>
                <w:i/>
                <w:iCs/>
              </w:rPr>
              <w:t>OJ L 153, 11.6.2011, p. 1–186</w:t>
            </w:r>
            <w:r w:rsidRPr="002F6A28">
              <w:t>)</w:t>
            </w:r>
          </w:p>
          <w:p w:rsidR="00EE3A11" w:rsidRPr="002F6A28" w:rsidP="007F13E8" w14:paraId="02B81720" w14:textId="77777777">
            <w:pPr>
              <w:spacing w:before="120" w:after="120"/>
            </w:pPr>
            <w:hyperlink r:id="rId10" w:history="1">
              <w:r w:rsidRPr="002F6A28">
                <w:rPr>
                  <w:color w:val="0000FF"/>
                  <w:u w:val="single"/>
                </w:rPr>
                <w:t>http://eur-lex.europa.eu/legal-content/EN/TXT/?qid=144292851200</w:t>
              </w:r>
              <w:r w:rsidRPr="002F6A28">
                <w:rPr>
                  <w:color w:val="0000FF"/>
                  <w:u w:val="single"/>
                </w:rPr>
                <w:t>4&amp;uri=CELEX:32011R0540</w:t>
              </w:r>
            </w:hyperlink>
          </w:p>
          <w:p w:rsidR="00EE3A11" w:rsidRPr="002F6A28" w:rsidP="007F13E8" w14:paraId="6B5BC92A" w14:textId="77777777">
            <w:pPr>
              <w:spacing w:before="120" w:after="120"/>
            </w:pPr>
            <w:r w:rsidRPr="002F6A28">
              <w:t>Conclusion on the peer review of the pesticide risk assessment of the active substance phenmedipham:</w:t>
            </w:r>
          </w:p>
          <w:p w:rsidR="00EE3A11" w:rsidRPr="002F6A28" w:rsidP="007F13E8" w14:paraId="3B414659" w14:textId="77777777">
            <w:pPr>
              <w:spacing w:before="120" w:after="120"/>
            </w:pPr>
            <w:r w:rsidRPr="002F6A28">
              <w:t xml:space="preserve">EFSA (European Food Safety Authority), Álvarez, F., Arena, M., Auteri, D., Leite, S. B., Binaglia, M., Castoldi, A. F., Chiusolo, A., Colagiorgi, A., Colas, M., Crivellente, F., De Lentdecker, C., De Magistris, I., Egsmose, M., Fait, G., Ferilli, F., Broussard, M. F., Santonja, G. G., Gouliarmou, V., … Villamar-Bouza, L. (2025). Peer review of the pesticide risk assessment of the active substance phenmedipham. EFSA Journal, 23(11), e9711. </w:t>
            </w:r>
            <w:hyperlink r:id="rId11" w:history="1">
              <w:r w:rsidRPr="002F6A28">
                <w:rPr>
                  <w:color w:val="0000FF"/>
                  <w:u w:val="single"/>
                </w:rPr>
                <w:t>https://doi.org/10.2903/j.efsa.2025.9711</w:t>
              </w:r>
            </w:hyperlink>
          </w:p>
        </w:tc>
      </w:tr>
      <w:tr w14:paraId="21B3EF88" w14:textId="77777777" w:rsidTr="00DB13FE">
        <w:tblPrEx>
          <w:tblW w:w="5000" w:type="pct"/>
          <w:tblLayout w:type="fixed"/>
          <w:tblLook w:val="0000"/>
        </w:tblPrEx>
        <w:tc>
          <w:tcPr>
            <w:tcW w:w="607" w:type="dxa"/>
          </w:tcPr>
          <w:p w:rsidR="00EE3A11" w:rsidRPr="002F6A28" w:rsidP="002F6A28" w14:paraId="46E15873" w14:textId="77777777">
            <w:pPr>
              <w:spacing w:before="120" w:after="120"/>
              <w:jc w:val="left"/>
              <w:rPr>
                <w:b/>
              </w:rPr>
            </w:pPr>
            <w:r w:rsidRPr="002F6A28">
              <w:rPr>
                <w:b/>
              </w:rPr>
              <w:t>9.</w:t>
            </w:r>
          </w:p>
        </w:tc>
        <w:tc>
          <w:tcPr>
            <w:tcW w:w="8373" w:type="dxa"/>
          </w:tcPr>
          <w:p w:rsidR="00EE3A11" w:rsidRPr="002F6A28" w:rsidP="008953C4" w14:paraId="4E0B18DB" w14:textId="77777777">
            <w:pPr>
              <w:spacing w:before="120" w:after="120"/>
            </w:pPr>
            <w:r w:rsidRPr="002F6A28">
              <w:rPr>
                <w:b/>
              </w:rPr>
              <w:t>Proposed date of adoption:</w:t>
            </w:r>
            <w:r w:rsidRPr="00C379C8">
              <w:t xml:space="preserve"> Q1 2027</w:t>
            </w:r>
          </w:p>
          <w:p w:rsidR="00EE3A11" w:rsidRPr="002F6A28" w:rsidP="008953C4" w14:paraId="1AC564AD" w14:textId="77777777">
            <w:pPr>
              <w:spacing w:after="120"/>
            </w:pPr>
            <w:r w:rsidRPr="002F6A28">
              <w:rPr>
                <w:b/>
              </w:rPr>
              <w:t>Proposed date of entry into force:</w:t>
            </w:r>
            <w:r w:rsidRPr="00C379C8">
              <w:t xml:space="preserve"> 20 days following publication in the Official Journal of the EU</w:t>
            </w:r>
          </w:p>
        </w:tc>
      </w:tr>
      <w:tr w14:paraId="19CF097D" w14:textId="77777777" w:rsidTr="00493875">
        <w:tblPrEx>
          <w:tblW w:w="5000" w:type="pct"/>
          <w:tblLayout w:type="fixed"/>
          <w:tblLook w:val="0000"/>
        </w:tblPrEx>
        <w:trPr>
          <w:cantSplit/>
        </w:trPr>
        <w:tc>
          <w:tcPr>
            <w:tcW w:w="607" w:type="dxa"/>
            <w:tcBorders>
              <w:bottom w:val="double" w:sz="4" w:space="0" w:color="auto"/>
            </w:tcBorders>
          </w:tcPr>
          <w:p w:rsidR="00F85C99" w:rsidRPr="002F6A28" w:rsidP="002F6A28" w14:paraId="0EF8EE1B"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ED33009"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06E6CC3F" w14:textId="77777777">
            <w:pPr>
              <w:spacing w:before="120" w:after="120"/>
              <w:rPr>
                <w:bCs/>
              </w:rPr>
            </w:pPr>
            <w:r w:rsidRPr="002F6A28">
              <w:rPr>
                <w:b/>
              </w:rPr>
              <w:t>Final date for comments:</w:t>
            </w:r>
            <w:r w:rsidRPr="00C379C8" w:rsidR="00EE3A11">
              <w:t xml:space="preserve"> 26 December 2026</w:t>
            </w:r>
          </w:p>
          <w:p w:rsidR="000C3B6C" w:rsidRPr="00E3324D" w:rsidP="000C3B6C" w14:paraId="5F3653D8"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423B5FD5"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493875" w:rsidP="000C3B6C" w14:paraId="7AD84A76" w14:textId="77777777">
            <w:pPr>
              <w:rPr>
                <w:lang w:val="fr-CH"/>
              </w:rPr>
            </w:pPr>
            <w:r w:rsidRPr="00493875">
              <w:rPr>
                <w:lang w:val="fr-CH"/>
              </w:rPr>
              <w:t>European Commission,</w:t>
            </w:r>
          </w:p>
          <w:p w:rsidR="00CE6C29" w:rsidRPr="00493875" w:rsidP="000C3B6C" w14:paraId="56AD9A22" w14:textId="77777777">
            <w:pPr>
              <w:rPr>
                <w:lang w:val="fr-CH"/>
              </w:rPr>
            </w:pPr>
            <w:r w:rsidRPr="00493875">
              <w:rPr>
                <w:lang w:val="fr-CH"/>
              </w:rPr>
              <w:t>EU-TBT Enquiry Point,</w:t>
            </w:r>
          </w:p>
          <w:p w:rsidR="00CE6C29" w:rsidRPr="00493875" w:rsidP="000C3B6C" w14:paraId="5CFF0190" w14:textId="77777777">
            <w:pPr>
              <w:rPr>
                <w:lang w:val="pt-PT"/>
              </w:rPr>
            </w:pPr>
            <w:r w:rsidRPr="00493875">
              <w:rPr>
                <w:lang w:val="pt-PT"/>
              </w:rPr>
              <w:t>Fax: + (32) 2 299 80 43,</w:t>
            </w:r>
          </w:p>
          <w:p w:rsidR="00CE6C29" w:rsidRPr="00493875" w:rsidP="000C3B6C" w14:paraId="3DEBCAC7" w14:textId="77777777">
            <w:pPr>
              <w:spacing w:after="120"/>
              <w:rPr>
                <w:lang w:val="pt-PT"/>
              </w:rPr>
            </w:pPr>
            <w:r w:rsidRPr="00493875">
              <w:rPr>
                <w:lang w:val="pt-PT"/>
              </w:rPr>
              <w:t xml:space="preserve">E-mail: </w:t>
            </w:r>
            <w:hyperlink r:id="rId6" w:history="1">
              <w:r w:rsidRPr="00493875">
                <w:rPr>
                  <w:color w:val="0000FF"/>
                  <w:u w:val="single"/>
                  <w:lang w:val="pt-PT"/>
                </w:rPr>
                <w:t>grow-eu-tbt@ec.europa.eu</w:t>
              </w:r>
            </w:hyperlink>
          </w:p>
        </w:tc>
      </w:tr>
    </w:tbl>
    <w:p w:rsidR="00EE3A11" w:rsidRPr="00493875" w:rsidP="00887259" w14:paraId="36ABC80B" w14:textId="77777777">
      <w:pPr>
        <w:jc w:val="center"/>
        <w:rPr>
          <w:lang w:val="pt-PT"/>
        </w:rPr>
      </w:pPr>
    </w:p>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52D3105"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C9DF8E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9D0EA0D"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AF27A69" w14:textId="77777777">
    <w:pPr>
      <w:pStyle w:val="Header"/>
      <w:pBdr>
        <w:bottom w:val="single" w:sz="4" w:space="1" w:color="auto"/>
      </w:pBdr>
      <w:tabs>
        <w:tab w:val="clear" w:pos="4513"/>
        <w:tab w:val="clear" w:pos="9027"/>
      </w:tabs>
      <w:jc w:val="center"/>
    </w:pPr>
    <w:r w:rsidRPr="002F6A28">
      <w:t>tbtSymbol</w:t>
    </w:r>
  </w:p>
  <w:p w:rsidR="009239F7" w:rsidRPr="002F6A28" w:rsidP="009239F7" w14:paraId="334EDCF8" w14:textId="77777777">
    <w:pPr>
      <w:pStyle w:val="Header"/>
      <w:pBdr>
        <w:bottom w:val="single" w:sz="4" w:space="1" w:color="auto"/>
      </w:pBdr>
      <w:tabs>
        <w:tab w:val="clear" w:pos="4513"/>
        <w:tab w:val="clear" w:pos="9027"/>
      </w:tabs>
      <w:jc w:val="center"/>
    </w:pPr>
  </w:p>
  <w:p w:rsidR="009239F7" w:rsidRPr="002F6A28" w:rsidP="009239F7" w14:paraId="737FF33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EA2EFC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2402BEF" w14:textId="77777777">
    <w:pPr>
      <w:pStyle w:val="Header"/>
      <w:pBdr>
        <w:bottom w:val="single" w:sz="4" w:space="1" w:color="auto"/>
      </w:pBdr>
      <w:tabs>
        <w:tab w:val="clear" w:pos="4513"/>
        <w:tab w:val="clear" w:pos="9027"/>
      </w:tabs>
      <w:jc w:val="center"/>
    </w:pPr>
    <w:bookmarkStart w:id="0" w:name="spsSymbolHeader"/>
    <w:r w:rsidRPr="002F6A28">
      <w:t>G/TBT/N/EU/1249</w:t>
    </w:r>
    <w:bookmarkEnd w:id="0"/>
  </w:p>
  <w:p w:rsidR="009239F7" w:rsidRPr="002F6A28" w:rsidP="009239F7" w14:paraId="42E231D6" w14:textId="77777777">
    <w:pPr>
      <w:pStyle w:val="Header"/>
      <w:pBdr>
        <w:bottom w:val="single" w:sz="4" w:space="1" w:color="auto"/>
      </w:pBdr>
      <w:tabs>
        <w:tab w:val="clear" w:pos="4513"/>
        <w:tab w:val="clear" w:pos="9027"/>
      </w:tabs>
      <w:jc w:val="center"/>
    </w:pPr>
  </w:p>
  <w:p w:rsidR="009239F7" w:rsidRPr="002F6A28" w:rsidP="009239F7" w14:paraId="7A9EB98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36415C1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1DD666C"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39D579D"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636DD87" w14:textId="77777777">
          <w:pPr>
            <w:jc w:val="right"/>
            <w:rPr>
              <w:b/>
              <w:color w:val="FF0000"/>
              <w:szCs w:val="16"/>
            </w:rPr>
          </w:pPr>
        </w:p>
      </w:tc>
    </w:tr>
    <w:bookmarkEnd w:id="1"/>
    <w:tr w14:paraId="221A5822"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5AF2A0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BEC44DB" w14:textId="77777777">
          <w:pPr>
            <w:jc w:val="right"/>
            <w:rPr>
              <w:b/>
              <w:szCs w:val="16"/>
            </w:rPr>
          </w:pPr>
        </w:p>
      </w:tc>
    </w:tr>
    <w:tr w14:paraId="446064ED"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7B3CA45"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763A290" w14:textId="77777777">
          <w:pPr>
            <w:jc w:val="right"/>
            <w:rPr>
              <w:b/>
              <w:szCs w:val="16"/>
            </w:rPr>
          </w:pPr>
          <w:bookmarkStart w:id="2" w:name="bmkSymbols"/>
          <w:r w:rsidRPr="002F6A28">
            <w:rPr>
              <w:b/>
              <w:szCs w:val="16"/>
            </w:rPr>
            <w:t>G/TBT/N/EU/1249</w:t>
          </w:r>
          <w:bookmarkEnd w:id="2"/>
        </w:p>
      </w:tc>
    </w:tr>
    <w:tr w14:paraId="1150D41E"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10CA041" w14:textId="77777777"/>
      </w:tc>
      <w:tc>
        <w:tcPr>
          <w:tcW w:w="5448" w:type="dxa"/>
          <w:gridSpan w:val="2"/>
          <w:shd w:val="clear" w:color="auto" w:fill="FFFFFF"/>
          <w:tcMar>
            <w:left w:w="108" w:type="dxa"/>
            <w:right w:w="108" w:type="dxa"/>
          </w:tcMar>
          <w:vAlign w:val="center"/>
        </w:tcPr>
        <w:p w:rsidR="00ED54E0" w:rsidRPr="009239F7" w:rsidP="00B801E9" w14:paraId="1C6CB462" w14:textId="77777777">
          <w:pPr>
            <w:jc w:val="right"/>
            <w:rPr>
              <w:szCs w:val="16"/>
            </w:rPr>
          </w:pPr>
          <w:bookmarkStart w:id="3" w:name="spsDateDistribution"/>
          <w:bookmarkStart w:id="4" w:name="bmkDate"/>
          <w:r w:rsidRPr="009239F7">
            <w:rPr>
              <w:szCs w:val="16"/>
            </w:rPr>
            <w:t>27 October 2026</w:t>
          </w:r>
          <w:bookmarkEnd w:id="3"/>
          <w:bookmarkEnd w:id="4"/>
        </w:p>
      </w:tc>
    </w:tr>
    <w:tr w14:paraId="0BA34247"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4E6456F" w14:textId="77777777">
          <w:pPr>
            <w:jc w:val="left"/>
            <w:rPr>
              <w:b/>
            </w:rPr>
          </w:pPr>
          <w:bookmarkStart w:id="5" w:name="bmkSerial"/>
          <w:r>
            <w:rPr>
              <w:rFonts w:ascii="Verdana" w:eastAsia="Verdana" w:hAnsi="Verdana" w:cs="Verdana"/>
              <w:b w:val="0"/>
              <w:color w:val="FF0000"/>
              <w:sz w:val="18"/>
            </w:rPr>
            <w:t>(26-7507)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102988D"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608227DB"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1324462"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0762BFB"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7C3FD71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1773671">
    <w:abstractNumId w:val="9"/>
  </w:num>
  <w:num w:numId="2" w16cid:durableId="1572957796">
    <w:abstractNumId w:val="7"/>
  </w:num>
  <w:num w:numId="3" w16cid:durableId="63115823">
    <w:abstractNumId w:val="6"/>
  </w:num>
  <w:num w:numId="4" w16cid:durableId="1909881157">
    <w:abstractNumId w:val="5"/>
  </w:num>
  <w:num w:numId="5" w16cid:durableId="1984311139">
    <w:abstractNumId w:val="4"/>
  </w:num>
  <w:num w:numId="6" w16cid:durableId="1815371426">
    <w:abstractNumId w:val="12"/>
  </w:num>
  <w:num w:numId="7" w16cid:durableId="1990163571">
    <w:abstractNumId w:val="11"/>
  </w:num>
  <w:num w:numId="8" w16cid:durableId="1439064249">
    <w:abstractNumId w:val="10"/>
  </w:num>
  <w:num w:numId="9" w16cid:durableId="16889423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8421666">
    <w:abstractNumId w:val="13"/>
  </w:num>
  <w:num w:numId="11" w16cid:durableId="1568033985">
    <w:abstractNumId w:val="8"/>
  </w:num>
  <w:num w:numId="12" w16cid:durableId="712535965">
    <w:abstractNumId w:val="3"/>
  </w:num>
  <w:num w:numId="13" w16cid:durableId="1527866332">
    <w:abstractNumId w:val="2"/>
  </w:num>
  <w:num w:numId="14" w16cid:durableId="1712414155">
    <w:abstractNumId w:val="1"/>
  </w:num>
  <w:num w:numId="15" w16cid:durableId="518206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345D4"/>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93875"/>
    <w:rsid w:val="004A23F8"/>
    <w:rsid w:val="004B4A93"/>
    <w:rsid w:val="004C274C"/>
    <w:rsid w:val="004C27A4"/>
    <w:rsid w:val="004E51B2"/>
    <w:rsid w:val="004F203A"/>
    <w:rsid w:val="004F53F6"/>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43FB"/>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33C"/>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44F32"/>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113E"/>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EC864C5"/>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Titre1C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Titre2C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Titre3C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Titre4C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Titre5C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Titre6C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Titre7C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Titre8C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Titre9C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2"/>
    <w:rsid w:val="002F6A28"/>
    <w:rPr>
      <w:rFonts w:ascii="Verdana" w:eastAsia="Times New Roman" w:hAnsi="Verdana"/>
      <w:b/>
      <w:bCs/>
      <w:caps/>
      <w:color w:val="006283"/>
      <w:sz w:val="18"/>
      <w:szCs w:val="28"/>
      <w:lang w:val="en-GB"/>
    </w:rPr>
  </w:style>
  <w:style w:type="character" w:customStyle="1" w:styleId="Titre2Car">
    <w:name w:val="Titre 2 Car"/>
    <w:link w:val="Heading2"/>
    <w:uiPriority w:val="2"/>
    <w:rsid w:val="002F6A28"/>
    <w:rPr>
      <w:rFonts w:ascii="Verdana" w:eastAsia="Times New Roman" w:hAnsi="Verdana"/>
      <w:b/>
      <w:bCs/>
      <w:color w:val="006283"/>
      <w:sz w:val="18"/>
      <w:szCs w:val="26"/>
      <w:lang w:val="en-GB"/>
    </w:rPr>
  </w:style>
  <w:style w:type="character" w:customStyle="1" w:styleId="Titre3Car">
    <w:name w:val="Titre 3 Car"/>
    <w:link w:val="Heading3"/>
    <w:uiPriority w:val="2"/>
    <w:rsid w:val="002F6A28"/>
    <w:rPr>
      <w:rFonts w:ascii="Verdana" w:eastAsia="Times New Roman" w:hAnsi="Verdana"/>
      <w:b/>
      <w:bCs/>
      <w:color w:val="006283"/>
      <w:sz w:val="18"/>
      <w:szCs w:val="22"/>
      <w:lang w:val="en-GB"/>
    </w:rPr>
  </w:style>
  <w:style w:type="character" w:customStyle="1" w:styleId="Titre4Car">
    <w:name w:val="Titre 4 Car"/>
    <w:link w:val="Heading4"/>
    <w:uiPriority w:val="2"/>
    <w:rsid w:val="002F6A28"/>
    <w:rPr>
      <w:rFonts w:ascii="Verdana" w:eastAsia="Times New Roman" w:hAnsi="Verdana"/>
      <w:b/>
      <w:bCs/>
      <w:iCs/>
      <w:color w:val="006283"/>
      <w:sz w:val="18"/>
      <w:szCs w:val="22"/>
      <w:lang w:val="en-GB"/>
    </w:rPr>
  </w:style>
  <w:style w:type="character" w:customStyle="1" w:styleId="Titre5Car">
    <w:name w:val="Titre 5 Car"/>
    <w:link w:val="Heading5"/>
    <w:uiPriority w:val="2"/>
    <w:rsid w:val="002F6A28"/>
    <w:rPr>
      <w:rFonts w:ascii="Verdana" w:eastAsia="Times New Roman" w:hAnsi="Verdana"/>
      <w:b/>
      <w:color w:val="006283"/>
      <w:sz w:val="18"/>
      <w:szCs w:val="22"/>
      <w:lang w:val="en-GB"/>
    </w:rPr>
  </w:style>
  <w:style w:type="character" w:customStyle="1" w:styleId="Titre6Car">
    <w:name w:val="Titre 6 Car"/>
    <w:link w:val="Heading6"/>
    <w:uiPriority w:val="2"/>
    <w:rsid w:val="002F6A28"/>
    <w:rPr>
      <w:rFonts w:ascii="Verdana" w:eastAsia="Times New Roman" w:hAnsi="Verdana"/>
      <w:b/>
      <w:iCs/>
      <w:color w:val="006283"/>
      <w:sz w:val="18"/>
      <w:szCs w:val="22"/>
      <w:lang w:val="en-GB"/>
    </w:rPr>
  </w:style>
  <w:style w:type="character" w:customStyle="1" w:styleId="Titre7Car">
    <w:name w:val="Titre 7 Car"/>
    <w:link w:val="Heading7"/>
    <w:uiPriority w:val="2"/>
    <w:rsid w:val="002F6A28"/>
    <w:rPr>
      <w:rFonts w:ascii="Verdana" w:eastAsia="Times New Roman" w:hAnsi="Verdana"/>
      <w:b/>
      <w:iCs/>
      <w:color w:val="006283"/>
      <w:sz w:val="18"/>
      <w:szCs w:val="22"/>
      <w:lang w:val="en-GB"/>
    </w:rPr>
  </w:style>
  <w:style w:type="character" w:customStyle="1" w:styleId="Titre8Car">
    <w:name w:val="Titre 8 Car"/>
    <w:link w:val="Heading8"/>
    <w:uiPriority w:val="2"/>
    <w:rsid w:val="002F6A28"/>
    <w:rPr>
      <w:rFonts w:ascii="Verdana" w:eastAsia="Times New Roman" w:hAnsi="Verdana"/>
      <w:b/>
      <w:i/>
      <w:color w:val="006283"/>
      <w:sz w:val="18"/>
      <w:lang w:val="en-GB"/>
    </w:rPr>
  </w:style>
  <w:style w:type="character" w:customStyle="1" w:styleId="Titre9Car">
    <w:name w:val="Titre 9 C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reCar"/>
    <w:uiPriority w:val="5"/>
    <w:qFormat/>
    <w:rsid w:val="002F6A28"/>
    <w:pPr>
      <w:spacing w:before="480" w:after="240"/>
      <w:contextualSpacing/>
      <w:jc w:val="center"/>
    </w:pPr>
    <w:rPr>
      <w:rFonts w:eastAsia="Times New Roman"/>
      <w:b/>
      <w:caps/>
      <w:color w:val="006283"/>
      <w:kern w:val="28"/>
      <w:szCs w:val="52"/>
    </w:rPr>
  </w:style>
  <w:style w:type="character" w:customStyle="1" w:styleId="TitreCar">
    <w:name w:val="Titre C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CorpsdetexteCar"/>
    <w:uiPriority w:val="1"/>
    <w:qFormat/>
    <w:rsid w:val="002F6A28"/>
    <w:pPr>
      <w:numPr>
        <w:ilvl w:val="6"/>
        <w:numId w:val="13"/>
      </w:numPr>
      <w:spacing w:after="240"/>
    </w:pPr>
  </w:style>
  <w:style w:type="character" w:customStyle="1" w:styleId="CorpsdetexteCar">
    <w:name w:val="Corps de texte Car"/>
    <w:link w:val="BodyText"/>
    <w:uiPriority w:val="1"/>
    <w:rsid w:val="002F6A28"/>
    <w:rPr>
      <w:rFonts w:ascii="Verdana" w:hAnsi="Verdana"/>
      <w:sz w:val="18"/>
      <w:szCs w:val="22"/>
      <w:lang w:val="en-GB"/>
    </w:rPr>
  </w:style>
  <w:style w:type="paragraph" w:styleId="BodyText2">
    <w:name w:val="Body Text 2"/>
    <w:basedOn w:val="Normal"/>
    <w:link w:val="Corpsdetexte2Car"/>
    <w:uiPriority w:val="1"/>
    <w:qFormat/>
    <w:rsid w:val="002F6A28"/>
    <w:pPr>
      <w:numPr>
        <w:ilvl w:val="7"/>
        <w:numId w:val="13"/>
      </w:numPr>
      <w:spacing w:after="240"/>
    </w:pPr>
  </w:style>
  <w:style w:type="character" w:customStyle="1" w:styleId="Corpsdetexte2Car">
    <w:name w:val="Corps de texte 2 Car"/>
    <w:link w:val="BodyText2"/>
    <w:uiPriority w:val="1"/>
    <w:rsid w:val="002F6A28"/>
    <w:rPr>
      <w:rFonts w:ascii="Verdana" w:hAnsi="Verdana"/>
      <w:sz w:val="18"/>
      <w:szCs w:val="22"/>
      <w:lang w:val="en-GB"/>
    </w:rPr>
  </w:style>
  <w:style w:type="paragraph" w:styleId="BodyText3">
    <w:name w:val="Body Text 3"/>
    <w:basedOn w:val="Normal"/>
    <w:link w:val="Corpsdetexte3Car"/>
    <w:uiPriority w:val="1"/>
    <w:qFormat/>
    <w:rsid w:val="002F6A28"/>
    <w:pPr>
      <w:numPr>
        <w:ilvl w:val="8"/>
        <w:numId w:val="13"/>
      </w:numPr>
      <w:spacing w:after="240"/>
    </w:pPr>
    <w:rPr>
      <w:szCs w:val="16"/>
    </w:rPr>
  </w:style>
  <w:style w:type="character" w:customStyle="1" w:styleId="Corpsdetexte3Car">
    <w:name w:val="Corps de texte 3 C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NotedebasdepageCar"/>
    <w:uiPriority w:val="5"/>
    <w:rsid w:val="002F6A28"/>
    <w:pPr>
      <w:ind w:firstLine="567"/>
      <w:jc w:val="left"/>
    </w:pPr>
    <w:rPr>
      <w:sz w:val="16"/>
      <w:szCs w:val="18"/>
      <w:lang w:eastAsia="en-GB"/>
    </w:rPr>
  </w:style>
  <w:style w:type="character" w:customStyle="1" w:styleId="NotedebasdepageCar">
    <w:name w:val="Note de bas de page Car"/>
    <w:link w:val="FootnoteText"/>
    <w:uiPriority w:val="5"/>
    <w:rsid w:val="002F6A28"/>
    <w:rPr>
      <w:rFonts w:ascii="Verdana" w:hAnsi="Verdana"/>
      <w:sz w:val="16"/>
      <w:szCs w:val="18"/>
      <w:lang w:val="en-GB" w:eastAsia="en-GB"/>
    </w:rPr>
  </w:style>
  <w:style w:type="paragraph" w:styleId="EndnoteText">
    <w:name w:val="endnote text"/>
    <w:basedOn w:val="FootnoteText"/>
    <w:link w:val="NotedefinCar"/>
    <w:uiPriority w:val="49"/>
    <w:rsid w:val="002F6A28"/>
    <w:rPr>
      <w:szCs w:val="20"/>
    </w:rPr>
  </w:style>
  <w:style w:type="character" w:customStyle="1" w:styleId="NotedefinCar">
    <w:name w:val="Note de fin C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PieddepageCar"/>
    <w:uiPriority w:val="3"/>
    <w:rsid w:val="002F6A28"/>
    <w:pPr>
      <w:tabs>
        <w:tab w:val="center" w:pos="4513"/>
        <w:tab w:val="right" w:pos="9027"/>
      </w:tabs>
    </w:pPr>
    <w:rPr>
      <w:szCs w:val="18"/>
      <w:lang w:eastAsia="en-GB"/>
    </w:rPr>
  </w:style>
  <w:style w:type="character" w:customStyle="1" w:styleId="PieddepageCar">
    <w:name w:val="Pied de page C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En-tteCar"/>
    <w:uiPriority w:val="3"/>
    <w:rsid w:val="002F6A28"/>
    <w:pPr>
      <w:tabs>
        <w:tab w:val="center" w:pos="4513"/>
        <w:tab w:val="right" w:pos="9027"/>
      </w:tabs>
      <w:jc w:val="left"/>
    </w:pPr>
    <w:rPr>
      <w:szCs w:val="18"/>
      <w:lang w:eastAsia="en-GB"/>
    </w:rPr>
  </w:style>
  <w:style w:type="character" w:customStyle="1" w:styleId="En-tteCar">
    <w:name w:val="En-tête C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TextedebullesCar"/>
    <w:uiPriority w:val="99"/>
    <w:semiHidden/>
    <w:unhideWhenUsed/>
    <w:rsid w:val="002F6A28"/>
    <w:rPr>
      <w:rFonts w:ascii="Tahoma" w:hAnsi="Tahoma" w:cs="Tahoma"/>
      <w:sz w:val="16"/>
      <w:szCs w:val="16"/>
    </w:rPr>
  </w:style>
  <w:style w:type="character" w:customStyle="1" w:styleId="TextedebullesCar">
    <w:name w:val="Texte de bulles C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ous-titreCar"/>
    <w:uiPriority w:val="6"/>
    <w:qFormat/>
    <w:rsid w:val="002F6A28"/>
    <w:pPr>
      <w:numPr>
        <w:ilvl w:val="1"/>
      </w:numPr>
    </w:pPr>
    <w:rPr>
      <w:rFonts w:eastAsia="Times New Roman"/>
      <w:b/>
      <w:iCs/>
      <w:szCs w:val="24"/>
    </w:rPr>
  </w:style>
  <w:style w:type="character" w:customStyle="1" w:styleId="Sous-titreCar">
    <w:name w:val="Sous-titre C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Retrait1religneCar"/>
    <w:uiPriority w:val="99"/>
    <w:semiHidden/>
    <w:unhideWhenUsed/>
    <w:rsid w:val="002F6A28"/>
    <w:pPr>
      <w:numPr>
        <w:ilvl w:val="0"/>
        <w:numId w:val="0"/>
      </w:numPr>
      <w:spacing w:after="0"/>
      <w:ind w:firstLine="360"/>
    </w:pPr>
  </w:style>
  <w:style w:type="character" w:customStyle="1" w:styleId="Retrait1religneCar">
    <w:name w:val="Retrait 1re ligne Car"/>
    <w:link w:val="BodyTextFirstIndent"/>
    <w:uiPriority w:val="99"/>
    <w:semiHidden/>
    <w:rsid w:val="002F6A28"/>
    <w:rPr>
      <w:rFonts w:ascii="Verdana" w:hAnsi="Verdana"/>
      <w:sz w:val="18"/>
      <w:szCs w:val="22"/>
      <w:lang w:val="en-GB"/>
    </w:rPr>
  </w:style>
  <w:style w:type="paragraph" w:styleId="BodyTextIndent">
    <w:name w:val="Body Text Indent"/>
    <w:basedOn w:val="Normal"/>
    <w:link w:val="RetraitcorpsdetexteCar"/>
    <w:uiPriority w:val="99"/>
    <w:semiHidden/>
    <w:unhideWhenUsed/>
    <w:rsid w:val="002F6A28"/>
    <w:pPr>
      <w:spacing w:after="120"/>
      <w:ind w:left="283"/>
    </w:pPr>
  </w:style>
  <w:style w:type="character" w:customStyle="1" w:styleId="RetraitcorpsdetexteCar">
    <w:name w:val="Retrait corps de texte C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Retraitcorpset1religCar"/>
    <w:uiPriority w:val="99"/>
    <w:semiHidden/>
    <w:unhideWhenUsed/>
    <w:rsid w:val="002F6A28"/>
    <w:pPr>
      <w:spacing w:after="0"/>
      <w:ind w:left="360" w:firstLine="360"/>
    </w:pPr>
  </w:style>
  <w:style w:type="character" w:customStyle="1" w:styleId="Retraitcorpset1religCar">
    <w:name w:val="Retrait corps et 1re lig. C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Retraitcorpsdetexte2Car"/>
    <w:uiPriority w:val="99"/>
    <w:semiHidden/>
    <w:unhideWhenUsed/>
    <w:rsid w:val="002F6A28"/>
    <w:pPr>
      <w:spacing w:after="120" w:line="480" w:lineRule="auto"/>
      <w:ind w:left="283"/>
    </w:pPr>
  </w:style>
  <w:style w:type="character" w:customStyle="1" w:styleId="Retraitcorpsdetexte2Car">
    <w:name w:val="Retrait corps de texte 2 Car"/>
    <w:link w:val="BodyTextIndent2"/>
    <w:uiPriority w:val="99"/>
    <w:semiHidden/>
    <w:rsid w:val="002F6A28"/>
    <w:rPr>
      <w:rFonts w:ascii="Verdana" w:hAnsi="Verdana"/>
      <w:sz w:val="18"/>
      <w:szCs w:val="22"/>
      <w:lang w:val="en-GB"/>
    </w:rPr>
  </w:style>
  <w:style w:type="paragraph" w:styleId="BodyTextIndent3">
    <w:name w:val="Body Text Indent 3"/>
    <w:basedOn w:val="Normal"/>
    <w:link w:val="Retraitcorpsdetexte3Car"/>
    <w:uiPriority w:val="99"/>
    <w:semiHidden/>
    <w:unhideWhenUsed/>
    <w:rsid w:val="002F6A28"/>
    <w:pPr>
      <w:spacing w:after="120"/>
      <w:ind w:left="283"/>
    </w:pPr>
    <w:rPr>
      <w:sz w:val="16"/>
      <w:szCs w:val="16"/>
    </w:rPr>
  </w:style>
  <w:style w:type="character" w:customStyle="1" w:styleId="Retraitcorpsdetexte3Car">
    <w:name w:val="Retrait corps de texte 3 C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FormuledepolitesseCar"/>
    <w:uiPriority w:val="99"/>
    <w:semiHidden/>
    <w:unhideWhenUsed/>
    <w:rsid w:val="002F6A28"/>
    <w:pPr>
      <w:ind w:left="4252"/>
    </w:pPr>
  </w:style>
  <w:style w:type="character" w:customStyle="1" w:styleId="FormuledepolitesseCar">
    <w:name w:val="Formule de politesse C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aireCar"/>
    <w:uiPriority w:val="99"/>
    <w:unhideWhenUsed/>
    <w:rsid w:val="002F6A28"/>
    <w:rPr>
      <w:sz w:val="20"/>
      <w:szCs w:val="20"/>
    </w:rPr>
  </w:style>
  <w:style w:type="character" w:customStyle="1" w:styleId="CommentaireCar">
    <w:name w:val="Commentaire Car"/>
    <w:link w:val="CommentText"/>
    <w:uiPriority w:val="99"/>
    <w:rsid w:val="002F6A28"/>
    <w:rPr>
      <w:rFonts w:ascii="Verdana" w:hAnsi="Verdana"/>
      <w:lang w:val="en-GB"/>
    </w:rPr>
  </w:style>
  <w:style w:type="paragraph" w:styleId="CommentSubject">
    <w:name w:val="annotation subject"/>
    <w:basedOn w:val="CommentText"/>
    <w:next w:val="CommentText"/>
    <w:link w:val="ObjetducommentaireCar"/>
    <w:uiPriority w:val="99"/>
    <w:unhideWhenUsed/>
    <w:rsid w:val="002F6A28"/>
    <w:rPr>
      <w:b/>
      <w:bCs/>
    </w:rPr>
  </w:style>
  <w:style w:type="character" w:customStyle="1" w:styleId="ObjetducommentaireCar">
    <w:name w:val="Objet du commentaire Car"/>
    <w:link w:val="CommentSubject"/>
    <w:uiPriority w:val="99"/>
    <w:rsid w:val="002F6A28"/>
    <w:rPr>
      <w:rFonts w:ascii="Verdana" w:hAnsi="Verdana"/>
      <w:b/>
      <w:bCs/>
      <w:lang w:val="en-GB"/>
    </w:rPr>
  </w:style>
  <w:style w:type="paragraph" w:styleId="Date">
    <w:name w:val="Date"/>
    <w:basedOn w:val="Normal"/>
    <w:next w:val="Normal"/>
    <w:link w:val="DateCar"/>
    <w:uiPriority w:val="99"/>
    <w:semiHidden/>
    <w:unhideWhenUsed/>
    <w:rsid w:val="002F6A28"/>
  </w:style>
  <w:style w:type="character" w:customStyle="1" w:styleId="DateCar">
    <w:name w:val="Date Car"/>
    <w:link w:val="Date"/>
    <w:uiPriority w:val="99"/>
    <w:semiHidden/>
    <w:rsid w:val="002F6A28"/>
    <w:rPr>
      <w:rFonts w:ascii="Verdana" w:hAnsi="Verdana"/>
      <w:sz w:val="18"/>
      <w:szCs w:val="22"/>
      <w:lang w:val="en-GB"/>
    </w:rPr>
  </w:style>
  <w:style w:type="paragraph" w:styleId="DocumentMap">
    <w:name w:val="Document Map"/>
    <w:basedOn w:val="Normal"/>
    <w:link w:val="ExplorateurdedocumentsCar"/>
    <w:uiPriority w:val="99"/>
    <w:semiHidden/>
    <w:unhideWhenUsed/>
    <w:rsid w:val="002F6A28"/>
    <w:rPr>
      <w:rFonts w:ascii="Tahoma" w:hAnsi="Tahoma" w:cs="Tahoma"/>
      <w:sz w:val="16"/>
      <w:szCs w:val="16"/>
    </w:rPr>
  </w:style>
  <w:style w:type="character" w:customStyle="1" w:styleId="ExplorateurdedocumentsCar">
    <w:name w:val="Explorateur de documents Car"/>
    <w:link w:val="DocumentMap"/>
    <w:uiPriority w:val="99"/>
    <w:semiHidden/>
    <w:rsid w:val="002F6A28"/>
    <w:rPr>
      <w:rFonts w:ascii="Tahoma" w:hAnsi="Tahoma" w:cs="Tahoma"/>
      <w:sz w:val="16"/>
      <w:szCs w:val="16"/>
      <w:lang w:val="en-GB"/>
    </w:rPr>
  </w:style>
  <w:style w:type="paragraph" w:styleId="E-mailSignature">
    <w:name w:val="E-mail Signature"/>
    <w:basedOn w:val="Normal"/>
    <w:link w:val="SignaturelectroniqueCar"/>
    <w:uiPriority w:val="99"/>
    <w:semiHidden/>
    <w:unhideWhenUsed/>
    <w:rsid w:val="002F6A28"/>
  </w:style>
  <w:style w:type="character" w:customStyle="1" w:styleId="SignaturelectroniqueCar">
    <w:name w:val="Signature électronique C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AdresseHTMLCar"/>
    <w:uiPriority w:val="99"/>
    <w:semiHidden/>
    <w:unhideWhenUsed/>
    <w:rsid w:val="002F6A28"/>
    <w:rPr>
      <w:i/>
      <w:iCs/>
    </w:rPr>
  </w:style>
  <w:style w:type="character" w:customStyle="1" w:styleId="AdresseHTMLCar">
    <w:name w:val="Adresse HTML C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PrformatHTMLCar"/>
    <w:uiPriority w:val="99"/>
    <w:semiHidden/>
    <w:unhideWhenUsed/>
    <w:rsid w:val="002F6A28"/>
    <w:rPr>
      <w:rFonts w:ascii="Consolas" w:hAnsi="Consolas" w:cs="Consolas"/>
      <w:sz w:val="20"/>
      <w:szCs w:val="20"/>
    </w:rPr>
  </w:style>
  <w:style w:type="character" w:customStyle="1" w:styleId="PrformatHTMLCar">
    <w:name w:val="Préformaté HTML C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CitationintenseCar"/>
    <w:uiPriority w:val="59"/>
    <w:semiHidden/>
    <w:qFormat/>
    <w:rsid w:val="002F6A28"/>
    <w:pPr>
      <w:pBdr>
        <w:bottom w:val="single" w:sz="4" w:space="4" w:color="4F81BD"/>
      </w:pBdr>
      <w:spacing w:before="200" w:after="280"/>
      <w:ind w:left="936" w:right="936"/>
    </w:pPr>
    <w:rPr>
      <w:b/>
      <w:bCs/>
      <w:i/>
      <w:iCs/>
      <w:color w:val="4F81BD"/>
    </w:rPr>
  </w:style>
  <w:style w:type="character" w:customStyle="1" w:styleId="CitationintenseCar">
    <w:name w:val="Citation intense C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TextedemacroC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TextedemacroCar">
    <w:name w:val="Texte de macro Car"/>
    <w:link w:val="Macro"/>
    <w:uiPriority w:val="99"/>
    <w:semiHidden/>
    <w:rsid w:val="002F6A28"/>
    <w:rPr>
      <w:rFonts w:ascii="Consolas" w:hAnsi="Consolas" w:cs="Consolas"/>
      <w:lang w:val="en-GB"/>
    </w:rPr>
  </w:style>
  <w:style w:type="paragraph" w:styleId="MessageHeader">
    <w:name w:val="Message Header"/>
    <w:basedOn w:val="Normal"/>
    <w:link w:val="En-ttedemessageC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TitredenoteCar"/>
    <w:uiPriority w:val="99"/>
    <w:semiHidden/>
    <w:unhideWhenUsed/>
    <w:rsid w:val="002F6A28"/>
  </w:style>
  <w:style w:type="character" w:customStyle="1" w:styleId="TitredenoteCar">
    <w:name w:val="Titre de note C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TextebrutCar"/>
    <w:uiPriority w:val="99"/>
    <w:unhideWhenUsed/>
    <w:rsid w:val="002F6A28"/>
    <w:rPr>
      <w:rFonts w:ascii="Consolas" w:hAnsi="Consolas" w:cs="Consolas"/>
      <w:sz w:val="21"/>
      <w:szCs w:val="21"/>
    </w:rPr>
  </w:style>
  <w:style w:type="character" w:customStyle="1" w:styleId="TextebrutCar">
    <w:name w:val="Texte brut Car"/>
    <w:link w:val="PlainText"/>
    <w:uiPriority w:val="99"/>
    <w:rsid w:val="002F6A28"/>
    <w:rPr>
      <w:rFonts w:ascii="Consolas" w:hAnsi="Consolas" w:cs="Consolas"/>
      <w:sz w:val="21"/>
      <w:szCs w:val="21"/>
      <w:lang w:val="en-GB"/>
    </w:rPr>
  </w:style>
  <w:style w:type="paragraph" w:styleId="Quote">
    <w:name w:val="Quote"/>
    <w:basedOn w:val="Normal"/>
    <w:next w:val="Normal"/>
    <w:link w:val="CitationCar"/>
    <w:uiPriority w:val="59"/>
    <w:qFormat/>
    <w:rsid w:val="002F6A28"/>
    <w:rPr>
      <w:i/>
      <w:iCs/>
      <w:color w:val="000000"/>
    </w:rPr>
  </w:style>
  <w:style w:type="character" w:customStyle="1" w:styleId="CitationCar">
    <w:name w:val="Citation C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sCar"/>
    <w:uiPriority w:val="99"/>
    <w:semiHidden/>
    <w:unhideWhenUsed/>
    <w:rsid w:val="002F6A28"/>
  </w:style>
  <w:style w:type="character" w:customStyle="1" w:styleId="SalutationsCar">
    <w:name w:val="Salutations Car"/>
    <w:link w:val="Salutation"/>
    <w:uiPriority w:val="99"/>
    <w:semiHidden/>
    <w:rsid w:val="002F6A28"/>
    <w:rPr>
      <w:rFonts w:ascii="Verdana" w:hAnsi="Verdana"/>
      <w:sz w:val="18"/>
      <w:szCs w:val="22"/>
      <w:lang w:val="en-GB"/>
    </w:rPr>
  </w:style>
  <w:style w:type="paragraph" w:styleId="Signature">
    <w:name w:val="Signature"/>
    <w:basedOn w:val="Normal"/>
    <w:link w:val="SignatureCar"/>
    <w:uiPriority w:val="99"/>
    <w:semiHidden/>
    <w:unhideWhenUsed/>
    <w:rsid w:val="002F6A28"/>
    <w:pPr>
      <w:ind w:left="4252"/>
    </w:pPr>
  </w:style>
  <w:style w:type="character" w:customStyle="1" w:styleId="SignatureCar">
    <w:name w:val="Signature C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eur-lex.europa.eu/legal-content/EN/TXT/?qid=1442928512004&amp;uri=CELEX:32011R0540" TargetMode="External" /><Relationship Id="rId11" Type="http://schemas.openxmlformats.org/officeDocument/2006/relationships/hyperlink" Target="https://doi.org/10.2903/j.efsa.2025.9711"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grow-eu-tbt@ec.europa.eu" TargetMode="External" /><Relationship Id="rId7" Type="http://schemas.openxmlformats.org/officeDocument/2006/relationships/hyperlink" Target="https://technical-barriers-trade.ec.europa.eu/en/home" TargetMode="External" /><Relationship Id="rId8" Type="http://schemas.openxmlformats.org/officeDocument/2006/relationships/hyperlink" Target="https://members.wto.org/crnattachments/2026/TBT/EEC/26_05568_00_e.pdf" TargetMode="External" /><Relationship Id="rId9" Type="http://schemas.openxmlformats.org/officeDocument/2006/relationships/hyperlink" Target="http://eur-lex.europa.eu/legal-content/EN/TXT/PDF/?uri=CELEX:32009R1107&amp;qid=1437730988988&amp;from=EN"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E8935735-AA71-4737-AB0E-EE0D33520C64}">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3</Pages>
  <Words>1066</Words>
  <Characters>6082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Fernandes, Francisca</cp:lastModifiedBy>
  <cp:revision>3</cp:revision>
  <dcterms:created xsi:type="dcterms:W3CDTF">2026-10-27T10:25:00Z</dcterms:created>
  <dcterms:modified xsi:type="dcterms:W3CDTF">2026-10-27T10:35:00Z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