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22E40FC" w14:textId="77777777">
      <w:pPr>
        <w:pStyle w:val="Title"/>
      </w:pPr>
      <w:r w:rsidRPr="002F663C">
        <w:t>NOTIFICATION</w:t>
      </w:r>
    </w:p>
    <w:p w:rsidR="002F663C" w:rsidRPr="002F663C" w:rsidP="00DD3DD7" w14:paraId="237FE900" w14:textId="77777777">
      <w:pPr>
        <w:pStyle w:val="Title3"/>
      </w:pPr>
      <w:r w:rsidRPr="002F663C">
        <w:t>Addendum</w:t>
      </w:r>
    </w:p>
    <w:p w:rsidR="002F663C" w:rsidP="001E2E4A" w14:paraId="7D1A7C9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21 October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7C2A93A7" w14:textId="77777777">
      <w:pPr>
        <w:rPr>
          <w:rFonts w:eastAsia="Calibri" w:cs="Times New Roman"/>
        </w:rPr>
      </w:pPr>
    </w:p>
    <w:p w:rsidR="002F663C" w:rsidRPr="002F663C" w:rsidP="002F663C" w14:paraId="086F75F7" w14:textId="77777777">
      <w:pPr>
        <w:jc w:val="center"/>
        <w:rPr>
          <w:rFonts w:eastAsia="Calibri" w:cs="Times New Roman"/>
          <w:b/>
        </w:rPr>
      </w:pPr>
      <w:r w:rsidRPr="002F663C">
        <w:rPr>
          <w:rFonts w:eastAsia="Calibri" w:cs="Times New Roman"/>
          <w:b/>
        </w:rPr>
        <w:t>_______________</w:t>
      </w:r>
    </w:p>
    <w:p w:rsidR="002F663C" w:rsidP="002F663C" w14:paraId="370D47CB" w14:textId="77777777">
      <w:pPr>
        <w:rPr>
          <w:rFonts w:eastAsia="Calibri" w:cs="Times New Roman"/>
        </w:rPr>
      </w:pPr>
    </w:p>
    <w:p w:rsidR="00C14444" w:rsidRPr="002F663C" w:rsidP="002F663C" w14:paraId="13880007" w14:textId="77777777">
      <w:pPr>
        <w:rPr>
          <w:rFonts w:eastAsia="Calibri" w:cs="Times New Roman"/>
        </w:rPr>
      </w:pPr>
    </w:p>
    <w:p w:rsidR="002F663C" w:rsidRPr="002F663C" w:rsidP="002F663C" w14:paraId="6375D8B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Interpretation of ''Flammable Liquid Fuels'' With Respect to Fuel Additives</w:t>
      </w:r>
    </w:p>
    <w:p w:rsidR="002F663C" w:rsidRPr="002F663C" w:rsidP="002F663C" w14:paraId="3B08E6D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5FC469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F8B81B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5AF8BB4" w14:textId="77777777" w:rsidTr="00E9471B">
        <w:tblPrEx>
          <w:tblW w:w="9049" w:type="dxa"/>
          <w:tblLayout w:type="fixed"/>
          <w:tblLook w:val="04A0"/>
        </w:tblPrEx>
        <w:tc>
          <w:tcPr>
            <w:tcW w:w="851" w:type="dxa"/>
          </w:tcPr>
          <w:p w:rsidR="002F663C" w:rsidRPr="00711F9C" w:rsidP="00C14444" w14:paraId="3A2DB58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69AA4C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2F263BF" w14:textId="77777777" w:rsidTr="00E9471B">
        <w:tblPrEx>
          <w:tblW w:w="9049" w:type="dxa"/>
          <w:tblLayout w:type="fixed"/>
          <w:tblLook w:val="04A0"/>
        </w:tblPrEx>
        <w:tc>
          <w:tcPr>
            <w:tcW w:w="851" w:type="dxa"/>
          </w:tcPr>
          <w:p w:rsidR="002F663C" w:rsidRPr="00711F9C" w:rsidP="00C14444" w14:paraId="6A8F617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999F90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9E12660" w14:textId="77777777" w:rsidTr="00E9471B">
        <w:tblPrEx>
          <w:tblW w:w="9049" w:type="dxa"/>
          <w:tblLayout w:type="fixed"/>
          <w:tblLook w:val="04A0"/>
        </w:tblPrEx>
        <w:tc>
          <w:tcPr>
            <w:tcW w:w="851" w:type="dxa"/>
          </w:tcPr>
          <w:p w:rsidR="002F663C" w:rsidRPr="00711F9C" w:rsidP="00C14444" w14:paraId="67E95BB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E6F962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122405F" w14:textId="77777777" w:rsidTr="00E9471B">
        <w:tblPrEx>
          <w:tblW w:w="9049" w:type="dxa"/>
          <w:tblLayout w:type="fixed"/>
          <w:tblLook w:val="04A0"/>
        </w:tblPrEx>
        <w:tc>
          <w:tcPr>
            <w:tcW w:w="851" w:type="dxa"/>
          </w:tcPr>
          <w:p w:rsidR="002F663C" w:rsidRPr="00711F9C" w:rsidP="00C14444" w14:paraId="6D89E53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E2CA0D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44BF75A" w14:textId="77777777" w:rsidTr="00E9471B">
        <w:tblPrEx>
          <w:tblW w:w="9049" w:type="dxa"/>
          <w:tblLayout w:type="fixed"/>
          <w:tblLook w:val="04A0"/>
        </w:tblPrEx>
        <w:tc>
          <w:tcPr>
            <w:tcW w:w="851" w:type="dxa"/>
          </w:tcPr>
          <w:p w:rsidR="002F663C" w:rsidRPr="00711F9C" w:rsidP="00C14444" w14:paraId="4A0C838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D1EDE8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C9FB9FB" w14:textId="77777777" w:rsidTr="00E9471B">
        <w:tblPrEx>
          <w:tblW w:w="9049" w:type="dxa"/>
          <w:tblLayout w:type="fixed"/>
          <w:tblLook w:val="04A0"/>
        </w:tblPrEx>
        <w:tc>
          <w:tcPr>
            <w:tcW w:w="851" w:type="dxa"/>
          </w:tcPr>
          <w:p w:rsidR="002F663C" w:rsidRPr="00711F9C" w:rsidP="00C14444" w14:paraId="715CF968" w14:textId="77777777">
            <w:pPr>
              <w:spacing w:before="60" w:after="60"/>
              <w:rPr>
                <w:rFonts w:eastAsia="Calibri" w:cs="Times New Roman"/>
                <w:szCs w:val="18"/>
              </w:rPr>
            </w:pPr>
            <w:r w:rsidRPr="00711F9C">
              <w:rPr>
                <w:rFonts w:eastAsia="Calibri" w:cs="Times New Roman"/>
                <w:szCs w:val="18"/>
              </w:rPr>
              <w:t>[</w:t>
            </w:r>
            <w:r w:rsidRPr="00711F9C">
              <w:rPr>
                <w:rFonts w:eastAsia="Calibri" w:cs="Times New Roman"/>
                <w:szCs w:val="18"/>
              </w:rPr>
              <w:t xml:space="preserve"> ]</w:t>
            </w:r>
          </w:p>
        </w:tc>
        <w:tc>
          <w:tcPr>
            <w:tcW w:w="8198" w:type="dxa"/>
          </w:tcPr>
          <w:p w:rsidR="002F663C" w:rsidRPr="002F663C" w:rsidP="00EB7B40" w14:paraId="16D8F01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B7F45A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90ACD4C" w14:textId="77777777" w:rsidTr="00E9471B">
        <w:tblPrEx>
          <w:tblW w:w="9049" w:type="dxa"/>
          <w:tblLayout w:type="fixed"/>
          <w:tblLook w:val="04A0"/>
        </w:tblPrEx>
        <w:tc>
          <w:tcPr>
            <w:tcW w:w="851" w:type="dxa"/>
          </w:tcPr>
          <w:p w:rsidR="002F663C" w:rsidRPr="00711F9C" w:rsidP="00C14444" w14:paraId="16AED9B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CE3A50A"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43F3CC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38B41CB" w14:textId="77777777" w:rsidTr="00E9471B">
        <w:tblPrEx>
          <w:tblW w:w="9049" w:type="dxa"/>
          <w:tblLayout w:type="fixed"/>
          <w:tblLook w:val="04A0"/>
        </w:tblPrEx>
        <w:tc>
          <w:tcPr>
            <w:tcW w:w="851" w:type="dxa"/>
          </w:tcPr>
          <w:p w:rsidR="002F663C" w:rsidRPr="00711F9C" w:rsidP="00C14444" w14:paraId="4E72A8E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D95F69" w14:paraId="1FC5E2DC" w14:textId="77777777">
            <w:pPr>
              <w:spacing w:before="60" w:after="12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p w:rsidR="002F663C" w:rsidRPr="002F663C" w:rsidP="00D95F69" w14:paraId="059CD5F6" w14:textId="77777777">
            <w:pPr>
              <w:spacing w:before="120" w:after="120"/>
              <w:rPr>
                <w:rFonts w:eastAsia="Calibri" w:cs="Times New Roman"/>
                <w:sz w:val="16"/>
                <w:szCs w:val="16"/>
              </w:rPr>
            </w:pPr>
            <w:r w:rsidRPr="002F663C">
              <w:rPr>
                <w:rFonts w:eastAsia="Calibri" w:cs="Times New Roman"/>
                <w:sz w:val="16"/>
                <w:szCs w:val="16"/>
              </w:rPr>
              <w:t>Final rule; interpretation</w:t>
            </w:r>
          </w:p>
          <w:p w:rsidR="002F663C" w:rsidRPr="002F663C" w:rsidP="00D95F69" w14:paraId="6CC8EF25" w14:textId="77777777">
            <w:pPr>
              <w:spacing w:before="120" w:after="120"/>
              <w:rPr>
                <w:rFonts w:eastAsia="Calibri" w:cs="Times New Roman"/>
                <w:sz w:val="16"/>
                <w:szCs w:val="16"/>
              </w:rPr>
            </w:pPr>
            <w:hyperlink r:id="rId7" w:tgtFrame="_blank" w:history="1">
              <w:r w:rsidRPr="002F663C">
                <w:rPr>
                  <w:rFonts w:eastAsia="Calibri" w:cs="Times New Roman"/>
                  <w:color w:val="0000FF"/>
                  <w:sz w:val="16"/>
                  <w:szCs w:val="16"/>
                  <w:u w:val="single"/>
                </w:rPr>
                <w:t>https://members.wto.org/crnattachments/2026/TBT/USA/interpretative_guidance/26_05482_00_e.pdf</w:t>
              </w:r>
            </w:hyperlink>
          </w:p>
        </w:tc>
      </w:tr>
      <w:tr w14:paraId="1EA11269" w14:textId="77777777" w:rsidTr="00E9471B">
        <w:tblPrEx>
          <w:tblW w:w="9049" w:type="dxa"/>
          <w:tblLayout w:type="fixed"/>
          <w:tblLook w:val="04A0"/>
        </w:tblPrEx>
        <w:tc>
          <w:tcPr>
            <w:tcW w:w="851" w:type="dxa"/>
            <w:tcBorders>
              <w:bottom w:val="double" w:sz="4" w:space="0" w:color="auto"/>
            </w:tcBorders>
          </w:tcPr>
          <w:p w:rsidR="002F663C" w:rsidRPr="00711F9C" w:rsidP="00C14444" w14:paraId="4068038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15D2D5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44C1BCA" w14:textId="77777777">
      <w:pPr>
        <w:jc w:val="left"/>
        <w:rPr>
          <w:rFonts w:eastAsia="Calibri" w:cs="Times New Roman"/>
          <w:highlight w:val="yellow"/>
        </w:rPr>
      </w:pPr>
    </w:p>
    <w:p w:rsidR="003971FF" w:rsidRPr="007F6EA2" w:rsidP="00B16ACF" w14:paraId="16D2DF7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Consumer Product Safety Commission (CPSC) is issuing an interpretive rule that interprets the phrase ''flammable liquid fuels'' as used in the Portable Fuel Container Safety Act of 2020 (</w:t>
      </w:r>
      <w:hyperlink r:id="rId8" w:history="1">
        <w:r w:rsidRPr="002F663C">
          <w:rPr>
            <w:rFonts w:eastAsia="Calibri" w:cs="Times New Roman"/>
            <w:color w:val="0000FF"/>
            <w:szCs w:val="18"/>
            <w:u w:val="single"/>
          </w:rPr>
          <w:t>PFCSA</w:t>
        </w:r>
      </w:hyperlink>
      <w:r w:rsidRPr="002F663C">
        <w:rPr>
          <w:rFonts w:eastAsia="Calibri" w:cs="Times New Roman"/>
          <w:szCs w:val="18"/>
        </w:rPr>
        <w:t xml:space="preserve">). Consistent with the plain language of the statute, the Commission interprets this phrase not to include fuel additives that are intended to be added to flammable liquid fuels for the sole purpose of improving engine performance, cleaning engine components, extending engine life, stabilizing fuel, preventing weather effects from fuel, or some similar purpose unrelated to creating heat or power. </w:t>
      </w:r>
    </w:p>
    <w:p w:rsidR="00E409A1" w:rsidRPr="002F663C" w:rsidP="00B16ACF" w14:paraId="32D38BDB" w14:textId="77777777">
      <w:pPr>
        <w:spacing w:before="120" w:after="120"/>
        <w:rPr>
          <w:rFonts w:eastAsia="Calibri" w:cs="Times New Roman"/>
          <w:szCs w:val="18"/>
        </w:rPr>
      </w:pPr>
      <w:r w:rsidRPr="002F663C">
        <w:rPr>
          <w:rFonts w:eastAsia="Calibri" w:cs="Times New Roman"/>
          <w:szCs w:val="18"/>
        </w:rPr>
        <w:t>The rule is effective on 19 October 2026.</w:t>
      </w:r>
    </w:p>
    <w:p w:rsidR="00E409A1" w:rsidRPr="002F663C" w:rsidP="00B16ACF" w14:paraId="78A9302A" w14:textId="77777777">
      <w:pPr>
        <w:spacing w:before="120" w:after="120"/>
        <w:rPr>
          <w:rFonts w:eastAsia="Calibri" w:cs="Times New Roman"/>
          <w:szCs w:val="18"/>
        </w:rPr>
      </w:pPr>
      <w:r w:rsidRPr="002F663C">
        <w:rPr>
          <w:rFonts w:eastAsia="Calibri" w:cs="Times New Roman"/>
          <w:szCs w:val="18"/>
        </w:rPr>
        <w:t xml:space="preserve">91 Federal Register (FR) 65967, 19 October 2026; </w:t>
      </w:r>
      <w:hyperlink r:id="rId9" w:history="1">
        <w:r w:rsidRPr="002F663C">
          <w:rPr>
            <w:rFonts w:eastAsia="Calibri" w:cs="Times New Roman"/>
            <w:color w:val="0000FF"/>
            <w:szCs w:val="18"/>
            <w:u w:val="single"/>
          </w:rPr>
          <w:t>Title 16 Code of Federal Regulations (CFR) Part 1461</w:t>
        </w:r>
      </w:hyperlink>
      <w:r w:rsidRPr="002F663C">
        <w:rPr>
          <w:rFonts w:eastAsia="Calibri" w:cs="Times New Roman"/>
          <w:szCs w:val="18"/>
        </w:rPr>
        <w:t>:</w:t>
      </w:r>
    </w:p>
    <w:p w:rsidR="00E409A1" w:rsidRPr="002F663C" w:rsidP="00B16ACF" w14:paraId="0DA9B2C6"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https://www.govinfo.gov/content/pkg/FR-2026-10-19/html/2026-21348.htm</w:t>
        </w:r>
      </w:hyperlink>
    </w:p>
    <w:p w:rsidR="00E409A1" w:rsidRPr="002F663C" w:rsidP="00B16ACF" w14:paraId="423BFE9E"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https://www.govinfo.gov/content/pkg/FR-2026-10-19/pdf/2026-21348.pdf</w:t>
        </w:r>
      </w:hyperlink>
    </w:p>
    <w:p w:rsidR="00E409A1" w:rsidRPr="002F663C" w:rsidP="00B16ACF" w14:paraId="12A3BF14" w14:textId="77777777">
      <w:pPr>
        <w:spacing w:before="120" w:after="120"/>
        <w:rPr>
          <w:rFonts w:eastAsia="Calibri" w:cs="Times New Roman"/>
          <w:szCs w:val="18"/>
        </w:rPr>
      </w:pPr>
      <w:r w:rsidRPr="002F663C">
        <w:rPr>
          <w:rFonts w:eastAsia="Calibri" w:cs="Times New Roman"/>
          <w:szCs w:val="18"/>
        </w:rPr>
        <w:t xml:space="preserve">This final rule; interpretation and previous actions notified under the symbol </w:t>
      </w:r>
      <w:hyperlink r:id="rId12" w:history="1">
        <w:r w:rsidRPr="002F663C">
          <w:rPr>
            <w:rFonts w:eastAsia="Calibri" w:cs="Times New Roman"/>
            <w:color w:val="0000FF"/>
            <w:szCs w:val="18"/>
            <w:u w:val="single"/>
          </w:rPr>
          <w:t>G/TBT/N/USA/1871</w:t>
        </w:r>
      </w:hyperlink>
      <w:r w:rsidRPr="002F663C">
        <w:rPr>
          <w:rFonts w:eastAsia="Calibri" w:cs="Times New Roman"/>
          <w:szCs w:val="18"/>
        </w:rPr>
        <w:t xml:space="preserve"> are identified by Docket Number CPSC-2022-0017. The Docket Folder is available on Regulations.gov at </w:t>
      </w:r>
      <w:hyperlink r:id="rId13" w:history="1">
        <w:r w:rsidRPr="002F663C">
          <w:rPr>
            <w:rFonts w:eastAsia="Calibri" w:cs="Times New Roman"/>
            <w:color w:val="0000FF"/>
            <w:szCs w:val="18"/>
            <w:u w:val="single"/>
          </w:rPr>
          <w:t>https://www.regulations.gov/docket/CPSC-2022-0017/document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EE62747" w14:textId="77777777">
      <w:pPr>
        <w:jc w:val="center"/>
        <w:rPr>
          <w:b/>
        </w:rPr>
      </w:pPr>
      <w:r w:rsidRPr="003971FF">
        <w:rPr>
          <w:b/>
        </w:rPr>
        <w:t>__________</w:t>
      </w:r>
    </w:p>
    <w:p w:rsidR="004D4D19" w:rsidP="007F38C2" w14:paraId="4E7D8D6F" w14:textId="77777777">
      <w:pPr>
        <w:jc w:val="center"/>
        <w:rPr>
          <w:b/>
        </w:rPr>
      </w:pPr>
    </w:p>
    <w:p w:rsidR="00A1565D" w:rsidP="003971FF" w14:paraId="41A7AF78"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62BC84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12986C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067E" w:rsidP="00ED54E0" w14:paraId="3B3DA66B" w14:textId="77777777">
      <w:r>
        <w:separator/>
      </w:r>
    </w:p>
  </w:footnote>
  <w:footnote w:type="continuationSeparator" w:id="1">
    <w:p w:rsidR="002A067E" w:rsidP="00ED54E0" w14:paraId="20D0F4A7" w14:textId="77777777">
      <w:r>
        <w:continuationSeparator/>
      </w:r>
    </w:p>
  </w:footnote>
  <w:footnote w:id="2">
    <w:p w:rsidR="007F6EA2" w14:paraId="70FEBA6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77B4D8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10591C77" w14:textId="77777777">
    <w:pPr>
      <w:pStyle w:val="Header"/>
      <w:pBdr>
        <w:bottom w:val="single" w:sz="4" w:space="1" w:color="auto"/>
      </w:pBdr>
      <w:tabs>
        <w:tab w:val="clear" w:pos="4513"/>
        <w:tab w:val="clear" w:pos="9027"/>
      </w:tabs>
      <w:jc w:val="center"/>
    </w:pPr>
  </w:p>
  <w:p w:rsidR="00DD3DD7" w:rsidRPr="00DD3DD7" w:rsidP="00DD3DD7" w14:paraId="45A5C97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42E919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E772B5" w:rsidP="00DD3DD7" w14:paraId="2658F34E" w14:textId="77777777">
    <w:pPr>
      <w:pStyle w:val="Header"/>
      <w:pBdr>
        <w:bottom w:val="single" w:sz="4" w:space="1" w:color="auto"/>
      </w:pBdr>
      <w:tabs>
        <w:tab w:val="clear" w:pos="4513"/>
        <w:tab w:val="clear" w:pos="9027"/>
      </w:tabs>
      <w:jc w:val="center"/>
      <w:rPr>
        <w:lang w:val="es-ES_tradnl"/>
      </w:rPr>
    </w:pPr>
    <w:bookmarkStart w:id="3" w:name="spsSymbolHeader"/>
    <w:r w:rsidRPr="00E772B5">
      <w:rPr>
        <w:lang w:val="es-ES_tradnl"/>
      </w:rPr>
      <w:t>G/TBT/N/USA/1871/Add.6</w:t>
    </w:r>
    <w:bookmarkEnd w:id="3"/>
  </w:p>
  <w:p w:rsidR="00DD3DD7" w:rsidRPr="00E772B5" w:rsidP="00DD3DD7" w14:paraId="3D7AB2AE" w14:textId="77777777">
    <w:pPr>
      <w:pStyle w:val="Header"/>
      <w:pBdr>
        <w:bottom w:val="single" w:sz="4" w:space="1" w:color="auto"/>
      </w:pBdr>
      <w:tabs>
        <w:tab w:val="clear" w:pos="4513"/>
        <w:tab w:val="clear" w:pos="9027"/>
      </w:tabs>
      <w:jc w:val="center"/>
      <w:rPr>
        <w:lang w:val="es-ES_tradnl"/>
      </w:rPr>
    </w:pPr>
  </w:p>
  <w:p w:rsidR="00DD3DD7" w:rsidRPr="00DD3DD7" w:rsidP="00DD3DD7" w14:paraId="272591A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751A8B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3EEC3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8BFB1C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D12EDF0" w14:textId="77777777">
          <w:pPr>
            <w:jc w:val="right"/>
            <w:rPr>
              <w:b/>
              <w:color w:val="FF0000"/>
              <w:szCs w:val="16"/>
            </w:rPr>
          </w:pPr>
          <w:r>
            <w:rPr>
              <w:b/>
              <w:color w:val="FF0000"/>
              <w:szCs w:val="16"/>
            </w:rPr>
            <w:t xml:space="preserve"> </w:t>
          </w:r>
        </w:p>
      </w:tc>
    </w:tr>
    <w:tr w14:paraId="37A75B9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AF83C7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0347633" w14:textId="77777777">
          <w:pPr>
            <w:jc w:val="right"/>
            <w:rPr>
              <w:b/>
              <w:szCs w:val="16"/>
            </w:rPr>
          </w:pPr>
        </w:p>
      </w:tc>
    </w:tr>
    <w:tr w14:paraId="2E981FC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A72951D" w14:textId="77777777">
          <w:pPr>
            <w:jc w:val="left"/>
            <w:rPr>
              <w:noProof/>
              <w:lang w:eastAsia="en-GB"/>
            </w:rPr>
          </w:pPr>
        </w:p>
      </w:tc>
      <w:tc>
        <w:tcPr>
          <w:tcW w:w="5448" w:type="dxa"/>
          <w:gridSpan w:val="2"/>
          <w:shd w:val="clear" w:color="auto" w:fill="FFFFFF"/>
          <w:tcMar>
            <w:left w:w="108" w:type="dxa"/>
            <w:right w:w="108" w:type="dxa"/>
          </w:tcMar>
        </w:tcPr>
        <w:p w:rsidR="00DD3DD7" w:rsidRPr="00E772B5" w:rsidP="00DD3DD7" w14:paraId="08CF55C7" w14:textId="77777777">
          <w:pPr>
            <w:jc w:val="right"/>
            <w:rPr>
              <w:rFonts w:eastAsia="Calibri" w:cs="Times New Roman"/>
              <w:b/>
              <w:szCs w:val="16"/>
              <w:lang w:val="es-ES_tradnl"/>
            </w:rPr>
          </w:pPr>
          <w:bookmarkStart w:id="4" w:name="bmkSymbols"/>
          <w:r w:rsidRPr="00E772B5">
            <w:rPr>
              <w:rFonts w:eastAsia="Calibri" w:cs="Times New Roman"/>
              <w:b/>
              <w:szCs w:val="16"/>
              <w:lang w:val="es-ES_tradnl"/>
            </w:rPr>
            <w:t>G/TBT/N/USA/1871/Add.6</w:t>
          </w:r>
          <w:bookmarkEnd w:id="4"/>
        </w:p>
        <w:p w:rsidR="00C14444" w:rsidRPr="00E772B5" w:rsidP="00C14444" w14:paraId="151A5769" w14:textId="77777777">
          <w:pPr>
            <w:jc w:val="center"/>
            <w:rPr>
              <w:szCs w:val="16"/>
              <w:lang w:val="es-ES_tradnl"/>
            </w:rPr>
          </w:pPr>
        </w:p>
      </w:tc>
    </w:tr>
    <w:tr w14:paraId="5E8F01E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772B5" w:rsidP="00425DC5" w14:paraId="1D06E2F7"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2C3DEBE2" w14:textId="77777777">
          <w:pPr>
            <w:jc w:val="right"/>
            <w:rPr>
              <w:szCs w:val="16"/>
            </w:rPr>
          </w:pPr>
          <w:bookmarkStart w:id="5" w:name="bmkDate"/>
          <w:r w:rsidRPr="00182B84">
            <w:rPr>
              <w:szCs w:val="16"/>
            </w:rPr>
            <w:t>22 October 2026</w:t>
          </w:r>
          <w:bookmarkEnd w:id="5"/>
        </w:p>
      </w:tc>
    </w:tr>
    <w:tr w14:paraId="0EC3ED5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F483191" w14:textId="77777777">
          <w:pPr>
            <w:jc w:val="left"/>
            <w:rPr>
              <w:b/>
            </w:rPr>
          </w:pPr>
          <w:bookmarkStart w:id="6" w:name="bmkSerial"/>
          <w:r>
            <w:rPr>
              <w:rFonts w:ascii="Verdana" w:eastAsia="Verdana" w:hAnsi="Verdana" w:cs="Verdana"/>
              <w:b w:val="0"/>
              <w:color w:val="FF0000"/>
              <w:sz w:val="18"/>
            </w:rPr>
            <w:t>(26-7379)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FA241D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6249444"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D7499D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D3E9D4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458EE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7172738">
    <w:abstractNumId w:val="9"/>
  </w:num>
  <w:num w:numId="2" w16cid:durableId="757289851">
    <w:abstractNumId w:val="7"/>
  </w:num>
  <w:num w:numId="3" w16cid:durableId="991449706">
    <w:abstractNumId w:val="6"/>
  </w:num>
  <w:num w:numId="4" w16cid:durableId="296955261">
    <w:abstractNumId w:val="5"/>
  </w:num>
  <w:num w:numId="5" w16cid:durableId="1221014298">
    <w:abstractNumId w:val="4"/>
  </w:num>
  <w:num w:numId="6" w16cid:durableId="1914460770">
    <w:abstractNumId w:val="12"/>
  </w:num>
  <w:num w:numId="7" w16cid:durableId="462819330">
    <w:abstractNumId w:val="11"/>
  </w:num>
  <w:num w:numId="8" w16cid:durableId="699664112">
    <w:abstractNumId w:val="10"/>
  </w:num>
  <w:num w:numId="9" w16cid:durableId="2059620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3659337">
    <w:abstractNumId w:val="13"/>
  </w:num>
  <w:num w:numId="11" w16cid:durableId="1857845993">
    <w:abstractNumId w:val="8"/>
  </w:num>
  <w:num w:numId="12" w16cid:durableId="1485051116">
    <w:abstractNumId w:val="3"/>
  </w:num>
  <w:num w:numId="13" w16cid:durableId="931471435">
    <w:abstractNumId w:val="2"/>
  </w:num>
  <w:num w:numId="14" w16cid:durableId="278607811">
    <w:abstractNumId w:val="1"/>
  </w:num>
  <w:num w:numId="15" w16cid:durableId="839854353">
    <w:abstractNumId w:val="0"/>
  </w:num>
  <w:num w:numId="16" w16cid:durableId="205029899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663C"/>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43FF6"/>
    <w:rsid w:val="001642F0"/>
    <w:rsid w:val="00175DD6"/>
    <w:rsid w:val="00182B84"/>
    <w:rsid w:val="001C2A9D"/>
    <w:rsid w:val="001E291F"/>
    <w:rsid w:val="001E2E4A"/>
    <w:rsid w:val="00223DA8"/>
    <w:rsid w:val="00233408"/>
    <w:rsid w:val="00265A0E"/>
    <w:rsid w:val="0027067B"/>
    <w:rsid w:val="00280FD7"/>
    <w:rsid w:val="00281997"/>
    <w:rsid w:val="002A067E"/>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A7E77"/>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09A1"/>
    <w:rsid w:val="00E46FD5"/>
    <w:rsid w:val="00E544BB"/>
    <w:rsid w:val="00E56545"/>
    <w:rsid w:val="00E626B0"/>
    <w:rsid w:val="00E64199"/>
    <w:rsid w:val="00E772B5"/>
    <w:rsid w:val="00E81997"/>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BB54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10-19/html/2026-21348.htm" TargetMode="External" /><Relationship Id="rId11" Type="http://schemas.openxmlformats.org/officeDocument/2006/relationships/hyperlink" Target="https://www.govinfo.gov/content/pkg/FR-2026-10-19/pdf/2026-21348.pdf" TargetMode="External" /><Relationship Id="rId12" Type="http://schemas.openxmlformats.org/officeDocument/2006/relationships/hyperlink" Target="https://eping.wto.org/en/Search?domainIds=1&amp;documentSymbol=usa%2F1871" TargetMode="External" /><Relationship Id="rId13" Type="http://schemas.openxmlformats.org/officeDocument/2006/relationships/hyperlink" Target="https://www.regulations.gov/docket/CPSC-2022-0017/document"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interpretative_guidance/26_05482_00_e.pdf" TargetMode="External" /><Relationship Id="rId8" Type="http://schemas.openxmlformats.org/officeDocument/2006/relationships/hyperlink" Target="https://www.congress.gov/bill/116th-congress/house-bill/806/text" TargetMode="External" /><Relationship Id="rId9" Type="http://schemas.openxmlformats.org/officeDocument/2006/relationships/hyperlink" Target="https://www.ecfr.gov/current/title-16/chapter-II/subchapter-B/part-146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725C3-9A8E-4B6B-9265-AAF1E2C5AA01}">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2026-10-22T08:01:00Z</dcterms:created>
  <dcterms:modified xsi:type="dcterms:W3CDTF">2026-10-22T09:55:00Z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