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322B2043" w14:textId="77777777">
      <w:pPr>
        <w:pStyle w:val="Title"/>
        <w:rPr>
          <w:caps w:val="0"/>
          <w:kern w:val="0"/>
        </w:rPr>
      </w:pPr>
      <w:r w:rsidRPr="002F6A28">
        <w:rPr>
          <w:caps w:val="0"/>
          <w:kern w:val="0"/>
        </w:rPr>
        <w:t>NOTIFICATION</w:t>
      </w:r>
    </w:p>
    <w:p w:rsidR="009239F7" w:rsidRPr="002F6A28" w:rsidP="002F6A28" w14:paraId="3B818561" w14:textId="77777777">
      <w:pPr>
        <w:jc w:val="center"/>
      </w:pPr>
      <w:r w:rsidRPr="002F6A28">
        <w:t>The following notification is being circulated in accordance with Article 10.6</w:t>
      </w:r>
    </w:p>
    <w:p w:rsidR="009239F7" w:rsidRPr="002F6A28" w:rsidP="002F6A28" w14:paraId="72E6A850"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0B43B3FD" w14:textId="77777777" w:rsidTr="00DB13FE">
        <w:tblPrEx>
          <w:tblW w:w="5000" w:type="pct"/>
          <w:tblLayout w:type="fixed"/>
          <w:tblLook w:val="0000"/>
        </w:tblPrEx>
        <w:tc>
          <w:tcPr>
            <w:tcW w:w="607" w:type="dxa"/>
            <w:tcBorders>
              <w:top w:val="double" w:sz="4" w:space="0" w:color="auto"/>
            </w:tcBorders>
          </w:tcPr>
          <w:p w:rsidR="00F85C99" w:rsidRPr="002F6A28" w:rsidP="002F6A28" w14:paraId="15D3E93F" w14:textId="77777777">
            <w:pPr>
              <w:spacing w:before="120" w:after="120"/>
              <w:jc w:val="left"/>
            </w:pPr>
            <w:r w:rsidRPr="002F6A28">
              <w:rPr>
                <w:b/>
              </w:rPr>
              <w:t>1.</w:t>
            </w:r>
          </w:p>
        </w:tc>
        <w:tc>
          <w:tcPr>
            <w:tcW w:w="8373" w:type="dxa"/>
            <w:tcBorders>
              <w:top w:val="double" w:sz="4" w:space="0" w:color="auto"/>
            </w:tcBorders>
          </w:tcPr>
          <w:p w:rsidR="00F85C99" w:rsidRPr="002F6A28" w:rsidP="00C805B6" w14:paraId="7DA7C3D0" w14:textId="77777777">
            <w:pPr>
              <w:spacing w:before="120" w:after="120"/>
            </w:pPr>
            <w:r w:rsidRPr="002F6A28">
              <w:rPr>
                <w:b/>
              </w:rPr>
              <w:t>Notifying Member:</w:t>
            </w:r>
            <w:r w:rsidRPr="00C92678" w:rsidR="00EE3A11">
              <w:t xml:space="preserve"> </w:t>
            </w:r>
            <w:r w:rsidRPr="00C92678" w:rsidR="00EE3A11">
              <w:rPr>
                <w:u w:val="single"/>
              </w:rPr>
              <w:t>AUSTRALIA</w:t>
            </w:r>
          </w:p>
          <w:p w:rsidR="00F85C99" w:rsidRPr="002F6A28" w:rsidP="002F6A28" w14:paraId="28101007"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6A22B6E5" w14:textId="77777777" w:rsidTr="00DB13FE">
        <w:tblPrEx>
          <w:tblW w:w="5000" w:type="pct"/>
          <w:tblLayout w:type="fixed"/>
          <w:tblLook w:val="0000"/>
        </w:tblPrEx>
        <w:tc>
          <w:tcPr>
            <w:tcW w:w="607" w:type="dxa"/>
          </w:tcPr>
          <w:p w:rsidR="00F85C99" w:rsidRPr="002F6A28" w:rsidP="002F6A28" w14:paraId="3F5CA36A" w14:textId="77777777">
            <w:pPr>
              <w:spacing w:before="120" w:after="120"/>
              <w:jc w:val="left"/>
            </w:pPr>
            <w:r w:rsidRPr="002F6A28">
              <w:rPr>
                <w:b/>
              </w:rPr>
              <w:t>2.</w:t>
            </w:r>
          </w:p>
        </w:tc>
        <w:tc>
          <w:tcPr>
            <w:tcW w:w="8373" w:type="dxa"/>
          </w:tcPr>
          <w:p w:rsidR="00F85C99" w:rsidRPr="002F6A28" w:rsidP="000C3B6C" w14:paraId="5FF5DD51" w14:textId="77777777">
            <w:pPr>
              <w:spacing w:before="120" w:after="120"/>
            </w:pPr>
            <w:r w:rsidRPr="002F6A28">
              <w:rPr>
                <w:b/>
              </w:rPr>
              <w:t>Agency responsible:</w:t>
            </w:r>
            <w:r w:rsidRPr="00C379C8" w:rsidR="00EE3A11">
              <w:t xml:space="preserve"> </w:t>
            </w:r>
          </w:p>
          <w:p w:rsidR="00EE3A11" w:rsidRPr="00C379C8" w:rsidP="000C3B6C" w14:paraId="76385506" w14:textId="77777777">
            <w:pPr>
              <w:spacing w:after="120"/>
            </w:pPr>
            <w:r w:rsidRPr="00C379C8">
              <w:t>Australian Building Codes Board, Housing Group, The Department of the Treasury</w:t>
            </w:r>
          </w:p>
        </w:tc>
      </w:tr>
      <w:tr w14:paraId="1B172DCD" w14:textId="77777777" w:rsidTr="00DB13FE">
        <w:tblPrEx>
          <w:tblW w:w="5000" w:type="pct"/>
          <w:tblLayout w:type="fixed"/>
          <w:tblLook w:val="0000"/>
        </w:tblPrEx>
        <w:tc>
          <w:tcPr>
            <w:tcW w:w="607" w:type="dxa"/>
          </w:tcPr>
          <w:p w:rsidR="00F85C99" w:rsidRPr="002F6A28" w:rsidP="002F6A28" w14:paraId="50CF68CD" w14:textId="77777777">
            <w:pPr>
              <w:spacing w:before="120" w:after="120"/>
              <w:jc w:val="left"/>
              <w:rPr>
                <w:b/>
              </w:rPr>
            </w:pPr>
            <w:r w:rsidRPr="002F6A28">
              <w:rPr>
                <w:b/>
              </w:rPr>
              <w:t>3.</w:t>
            </w:r>
          </w:p>
        </w:tc>
        <w:tc>
          <w:tcPr>
            <w:tcW w:w="8373" w:type="dxa"/>
          </w:tcPr>
          <w:p w:rsidR="00F85C99" w:rsidRPr="0058336F" w:rsidP="002F6A28" w14:paraId="3FF452BF"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7BB341BD" w14:textId="77777777" w:rsidTr="00DB13FE">
        <w:tblPrEx>
          <w:tblW w:w="5000" w:type="pct"/>
          <w:tblLayout w:type="fixed"/>
          <w:tblLook w:val="0000"/>
        </w:tblPrEx>
        <w:tc>
          <w:tcPr>
            <w:tcW w:w="607" w:type="dxa"/>
          </w:tcPr>
          <w:p w:rsidR="00F85C99" w:rsidRPr="002F6A28" w:rsidP="002F6A28" w14:paraId="6344BEBA" w14:textId="77777777">
            <w:pPr>
              <w:spacing w:before="120" w:after="120"/>
              <w:jc w:val="left"/>
            </w:pPr>
            <w:r w:rsidRPr="002F6A28">
              <w:rPr>
                <w:b/>
              </w:rPr>
              <w:t>4.</w:t>
            </w:r>
          </w:p>
        </w:tc>
        <w:tc>
          <w:tcPr>
            <w:tcW w:w="8373" w:type="dxa"/>
          </w:tcPr>
          <w:p w:rsidR="00F85C99" w:rsidRPr="002F6A28" w:rsidP="002F6A28" w14:paraId="5F55DAAF"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Pressure dependant stack vent valves.</w:t>
            </w:r>
          </w:p>
        </w:tc>
      </w:tr>
      <w:tr w14:paraId="6874FF65" w14:textId="77777777" w:rsidTr="00DB13FE">
        <w:tblPrEx>
          <w:tblW w:w="5000" w:type="pct"/>
          <w:tblLayout w:type="fixed"/>
          <w:tblLook w:val="0000"/>
        </w:tblPrEx>
        <w:tc>
          <w:tcPr>
            <w:tcW w:w="607" w:type="dxa"/>
          </w:tcPr>
          <w:p w:rsidR="00F85C99" w:rsidRPr="002F6A28" w:rsidP="002F6A28" w14:paraId="26EDEB85" w14:textId="77777777">
            <w:pPr>
              <w:spacing w:before="120" w:after="120"/>
              <w:jc w:val="left"/>
            </w:pPr>
            <w:r w:rsidRPr="002F6A28">
              <w:rPr>
                <w:b/>
              </w:rPr>
              <w:t>5.</w:t>
            </w:r>
          </w:p>
        </w:tc>
        <w:tc>
          <w:tcPr>
            <w:tcW w:w="8373" w:type="dxa"/>
          </w:tcPr>
          <w:p w:rsidR="00F85C99" w:rsidP="002F6A28" w14:paraId="10710A89"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Proposed adoption into the WaterMark Certification Scheme – DR WMTS-543:20xx </w:t>
            </w:r>
            <w:r w:rsidRPr="00C379C8" w:rsidR="00EE3A11">
              <w:rPr>
                <w:i/>
                <w:iCs/>
              </w:rPr>
              <w:t>Pressure dependent stack vent valve</w:t>
            </w:r>
            <w:r w:rsidRPr="00C379C8" w:rsidR="00EE3A11">
              <w:t>; (17 page(s), in English)</w:t>
            </w:r>
          </w:p>
          <w:p w:rsidR="000C3B6C" w:rsidRPr="000C3B6C" w:rsidP="002F6A28" w14:paraId="5BADEC9B"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1E60B4" w:rsidRPr="00CE6C29" w:rsidP="002F6A28" w14:paraId="3A5AD10C" w14:textId="77777777">
            <w:pPr>
              <w:pBdr>
                <w:top w:val="none" w:sz="0" w:space="4" w:color="auto"/>
                <w:bottom w:val="none" w:sz="0" w:space="4" w:color="auto"/>
              </w:pBdr>
              <w:rPr>
                <w:iCs/>
              </w:rPr>
            </w:pPr>
            <w:hyperlink r:id="rId6" w:tgtFrame="_blank" w:history="1">
              <w:r w:rsidRPr="00CE6C29">
                <w:rPr>
                  <w:iCs/>
                  <w:color w:val="0000FF"/>
                  <w:u w:val="single"/>
                </w:rPr>
                <w:t>https://members.wto.org/crnattachments/2026/TBT/AUS/26_05501_00_e.pdf</w:t>
              </w:r>
            </w:hyperlink>
          </w:p>
          <w:p w:rsidR="001E60B4" w:rsidRPr="00CE6C29" w:rsidP="002F6A28" w14:paraId="491291ED" w14:textId="77777777">
            <w:pPr>
              <w:spacing w:after="120"/>
              <w:rPr>
                <w:iCs/>
              </w:rPr>
            </w:pPr>
            <w:hyperlink r:id="rId7" w:tgtFrame="_blank" w:history="1">
              <w:r w:rsidRPr="00CE6C29">
                <w:rPr>
                  <w:iCs/>
                  <w:color w:val="0000FF"/>
                  <w:u w:val="single"/>
                </w:rPr>
                <w:t>https://storage.googleapis.com/converlens-au/abcb/p/prj3f683abad0b768a05f00c/page/fil3fce46b1122e13083e0e0_DR_WMTS_543_20XX_Pressure_dependant_stack_vent_valve.pdf</w:t>
              </w:r>
            </w:hyperlink>
          </w:p>
        </w:tc>
      </w:tr>
      <w:tr w14:paraId="5FA4D219" w14:textId="77777777" w:rsidTr="00DB13FE">
        <w:tblPrEx>
          <w:tblW w:w="5000" w:type="pct"/>
          <w:tblLayout w:type="fixed"/>
          <w:tblLook w:val="0000"/>
        </w:tblPrEx>
        <w:tc>
          <w:tcPr>
            <w:tcW w:w="607" w:type="dxa"/>
          </w:tcPr>
          <w:p w:rsidR="00F85C99" w:rsidRPr="002F6A28" w:rsidP="002F6A28" w14:paraId="6B76BEC6" w14:textId="77777777">
            <w:pPr>
              <w:spacing w:before="120" w:after="120"/>
              <w:jc w:val="left"/>
              <w:rPr>
                <w:b/>
              </w:rPr>
            </w:pPr>
            <w:r w:rsidRPr="002F6A28">
              <w:rPr>
                <w:b/>
              </w:rPr>
              <w:t>6.</w:t>
            </w:r>
          </w:p>
        </w:tc>
        <w:tc>
          <w:tcPr>
            <w:tcW w:w="8373" w:type="dxa"/>
          </w:tcPr>
          <w:p w:rsidR="00F85C99" w:rsidRPr="002F6A28" w:rsidP="002F6A28" w14:paraId="4581A026" w14:textId="77777777">
            <w:pPr>
              <w:spacing w:before="120" w:after="120"/>
              <w:rPr>
                <w:b/>
              </w:rPr>
            </w:pPr>
            <w:r w:rsidRPr="002F6A28">
              <w:rPr>
                <w:b/>
              </w:rPr>
              <w:t>Description of content:</w:t>
            </w:r>
            <w:r w:rsidRPr="00C379C8" w:rsidR="00FE448B">
              <w:t xml:space="preserve"> This Specification sets out requirements for a pressure dependent stack vent valve that is installed in the open to atmosphere stack piping. The prime function of the fitting is to minimise heat losses by management of air flows through the stack to the atmosphere. Note: There is no energy efficiency performance criteria for these products as this is dependent on the installation and climatic conditions. </w:t>
            </w:r>
          </w:p>
          <w:p w:rsidR="00FE448B" w:rsidRPr="00C379C8" w:rsidP="002F6A28" w14:paraId="18E9B324" w14:textId="77777777">
            <w:pPr>
              <w:spacing w:before="120" w:after="120"/>
            </w:pPr>
            <w:r w:rsidRPr="00C379C8">
              <w:t>The Plumbing Code of Australia (PCA) requires that most products intended for use in plumbing and drainage installations in or around buildings to be evaluated and certified to WaterMark product specifications. WaterMark certification to an applicable product specification provides a process to evaluate and authorise products to enable their use in a plumbing and drainage installation. Thus ensuring that the plumbing and drainage products are fit for purpose for which they are intended.</w:t>
            </w:r>
          </w:p>
          <w:p w:rsidR="00FE448B" w:rsidRPr="00C379C8" w:rsidP="002F6A28" w14:paraId="588A1DAE" w14:textId="77777777">
            <w:pPr>
              <w:spacing w:before="120" w:after="120"/>
            </w:pPr>
            <w:r w:rsidRPr="00C379C8">
              <w:t>This WaterMark Technical Specification (WMTS) was prepared in accordance with the Manual for the WaterMark Certification Scheme, Appendix 4, Protocol for Developing Product Specifications.</w:t>
            </w:r>
          </w:p>
          <w:p w:rsidR="00FE448B" w:rsidRPr="00C379C8" w:rsidP="002F6A28" w14:paraId="45A17F7E" w14:textId="77777777">
            <w:pPr>
              <w:spacing w:before="120" w:after="120"/>
            </w:pPr>
            <w:r w:rsidRPr="00C379C8">
              <w:t>The objective of WaterMark Technical Specification is to enable product certification in accordance with the requirements of the Plumbing Code of Australia (PCA).</w:t>
            </w:r>
          </w:p>
        </w:tc>
      </w:tr>
      <w:tr w14:paraId="32EEEACE" w14:textId="77777777" w:rsidTr="00DB13FE">
        <w:tblPrEx>
          <w:tblW w:w="5000" w:type="pct"/>
          <w:tblLayout w:type="fixed"/>
          <w:tblLook w:val="0000"/>
        </w:tblPrEx>
        <w:tc>
          <w:tcPr>
            <w:tcW w:w="607" w:type="dxa"/>
          </w:tcPr>
          <w:p w:rsidR="00F85C99" w:rsidRPr="002F6A28" w:rsidP="002F6A28" w14:paraId="511CF44E" w14:textId="77777777">
            <w:pPr>
              <w:spacing w:before="120" w:after="120"/>
              <w:jc w:val="left"/>
              <w:rPr>
                <w:b/>
              </w:rPr>
            </w:pPr>
            <w:r w:rsidRPr="002F6A28">
              <w:rPr>
                <w:b/>
              </w:rPr>
              <w:t>7.</w:t>
            </w:r>
          </w:p>
        </w:tc>
        <w:tc>
          <w:tcPr>
            <w:tcW w:w="8373" w:type="dxa"/>
          </w:tcPr>
          <w:p w:rsidR="00F85C99" w:rsidRPr="002F6A28" w:rsidP="002F6A28" w14:paraId="5ED52B67" w14:textId="77777777">
            <w:pPr>
              <w:spacing w:before="120" w:after="120"/>
              <w:rPr>
                <w:b/>
              </w:rPr>
            </w:pPr>
            <w:r w:rsidRPr="002F6A28">
              <w:rPr>
                <w:b/>
              </w:rPr>
              <w:t>Objective and rationale, including the nature of urgent problems where applicable:</w:t>
            </w:r>
            <w:r w:rsidRPr="00C379C8" w:rsidR="00EE3A11">
              <w:t xml:space="preserve"> The objectives of the Scheme are to establish the requirements for product certification and authorisation under Part A5 of the PCA and:</w:t>
            </w:r>
            <w:r w:rsidRPr="00C379C8" w:rsidR="00EE3A11">
              <w:br/>
            </w:r>
            <w:r w:rsidRPr="00C379C8" w:rsidR="00EE3A11">
              <w:t>a) to provide a process to authorise products to enable their use in plumbing and drainage installations as covered by the PCA, and</w:t>
            </w:r>
            <w:r w:rsidRPr="00C379C8" w:rsidR="00EE3A11">
              <w:br/>
              <w:t>b) to ensure that plumbing and drainage products are fit for the purpose for which they are intended and that their use in a plumbing and drainage installation throughout its serviceable life is suitable and does not create significant risks or any likely outcome of:</w:t>
            </w:r>
            <w:r w:rsidRPr="00C379C8" w:rsidR="00EE3A11">
              <w:br/>
              <w:t>(i) personal illness, loss, injury or death;</w:t>
            </w:r>
            <w:r w:rsidRPr="00C379C8" w:rsidR="00EE3A11">
              <w:br/>
              <w:t>(ii) on-site environmental degradation;</w:t>
            </w:r>
            <w:r w:rsidRPr="00C379C8" w:rsidR="00EE3A11">
              <w:br/>
              <w:t>(iii) contamination of the water resource;</w:t>
            </w:r>
            <w:r w:rsidRPr="00C379C8" w:rsidR="00EE3A11">
              <w:br/>
              <w:t>(iv) adverse impact on infrastructure (private or public);</w:t>
            </w:r>
            <w:r w:rsidRPr="00C379C8" w:rsidR="00EE3A11">
              <w:br/>
              <w:t>(v) contamination of water supplies from the point of connection to the points of discharge; or</w:t>
            </w:r>
            <w:r w:rsidRPr="00C379C8" w:rsidR="00EE3A11">
              <w:br/>
              <w:t>(vi) wastage of resources (water and energy).; Protection of human health or safety</w:t>
            </w:r>
          </w:p>
        </w:tc>
      </w:tr>
      <w:tr w14:paraId="339014BE" w14:textId="77777777" w:rsidTr="00DB13FE">
        <w:tblPrEx>
          <w:tblW w:w="5000" w:type="pct"/>
          <w:tblLayout w:type="fixed"/>
          <w:tblLook w:val="0000"/>
        </w:tblPrEx>
        <w:tc>
          <w:tcPr>
            <w:tcW w:w="607" w:type="dxa"/>
          </w:tcPr>
          <w:p w:rsidR="00F85C99" w:rsidRPr="002F6A28" w:rsidP="009E75ED" w14:paraId="12B2B941" w14:textId="77777777">
            <w:pPr>
              <w:spacing w:before="120" w:after="120"/>
              <w:jc w:val="left"/>
              <w:rPr>
                <w:b/>
              </w:rPr>
            </w:pPr>
            <w:r w:rsidRPr="002F6A28">
              <w:rPr>
                <w:b/>
              </w:rPr>
              <w:t>8.</w:t>
            </w:r>
          </w:p>
        </w:tc>
        <w:tc>
          <w:tcPr>
            <w:tcW w:w="8373" w:type="dxa"/>
          </w:tcPr>
          <w:p w:rsidR="000C3B6C" w:rsidRPr="00EC00D2" w:rsidP="007F13E8" w14:paraId="6D79B2F9" w14:textId="77777777">
            <w:pPr>
              <w:spacing w:before="120" w:after="120"/>
              <w:rPr>
                <w:bCs/>
              </w:rPr>
            </w:pPr>
            <w:r w:rsidRPr="002F6A28">
              <w:rPr>
                <w:b/>
              </w:rPr>
              <w:t>Relevant documents:</w:t>
            </w:r>
            <w:r w:rsidRPr="002F6A28" w:rsidR="00EE3A11">
              <w:t xml:space="preserve"> </w:t>
            </w:r>
          </w:p>
          <w:p w:rsidR="00EE3A11" w:rsidRPr="002F6A28" w:rsidP="007F13E8" w14:paraId="70D3FBC8" w14:textId="77777777">
            <w:pPr>
              <w:spacing w:before="120" w:after="120"/>
            </w:pPr>
            <w:hyperlink r:id="rId8" w:history="1">
              <w:r w:rsidRPr="002F6A28">
                <w:rPr>
                  <w:i/>
                  <w:iCs/>
                  <w:color w:val="0000FF"/>
                  <w:u w:val="single"/>
                </w:rPr>
                <w:t>Manual for the WaterMark Certification Scheme</w:t>
              </w:r>
            </w:hyperlink>
          </w:p>
          <w:p w:rsidR="00EE3A11" w:rsidRPr="002F6A28" w:rsidP="007F13E8" w14:paraId="0F6F1548" w14:textId="77777777">
            <w:pPr>
              <w:spacing w:before="120" w:after="120"/>
            </w:pPr>
            <w:hyperlink r:id="rId9" w:history="1">
              <w:r w:rsidRPr="002F6A28">
                <w:rPr>
                  <w:color w:val="0000FF"/>
                  <w:u w:val="single"/>
                </w:rPr>
                <w:t>WaterMark Schedule of Products</w:t>
              </w:r>
            </w:hyperlink>
          </w:p>
        </w:tc>
      </w:tr>
      <w:tr w14:paraId="1FA17240" w14:textId="77777777" w:rsidTr="00DB13FE">
        <w:tblPrEx>
          <w:tblW w:w="5000" w:type="pct"/>
          <w:tblLayout w:type="fixed"/>
          <w:tblLook w:val="0000"/>
        </w:tblPrEx>
        <w:tc>
          <w:tcPr>
            <w:tcW w:w="607" w:type="dxa"/>
          </w:tcPr>
          <w:p w:rsidR="00EE3A11" w:rsidRPr="002F6A28" w:rsidP="002F6A28" w14:paraId="39788F98" w14:textId="77777777">
            <w:pPr>
              <w:spacing w:before="120" w:after="120"/>
              <w:jc w:val="left"/>
              <w:rPr>
                <w:b/>
              </w:rPr>
            </w:pPr>
            <w:r w:rsidRPr="002F6A28">
              <w:rPr>
                <w:b/>
              </w:rPr>
              <w:t>9.</w:t>
            </w:r>
          </w:p>
        </w:tc>
        <w:tc>
          <w:tcPr>
            <w:tcW w:w="8373" w:type="dxa"/>
          </w:tcPr>
          <w:p w:rsidR="00EE3A11" w:rsidRPr="002F6A28" w:rsidP="008953C4" w14:paraId="61299A80" w14:textId="77777777">
            <w:pPr>
              <w:spacing w:before="120" w:after="120"/>
            </w:pPr>
            <w:r w:rsidRPr="002F6A28">
              <w:rPr>
                <w:b/>
              </w:rPr>
              <w:t>Proposed date of adoption:</w:t>
            </w:r>
            <w:r w:rsidRPr="00C379C8">
              <w:t xml:space="preserve"> To be determined; 2027</w:t>
            </w:r>
          </w:p>
          <w:p w:rsidR="00EE3A11" w:rsidRPr="002F6A28" w:rsidP="008953C4" w14:paraId="14190A01" w14:textId="77777777">
            <w:pPr>
              <w:spacing w:after="120"/>
            </w:pPr>
            <w:r w:rsidRPr="002F6A28">
              <w:rPr>
                <w:b/>
              </w:rPr>
              <w:t>Proposed date of entry into force:</w:t>
            </w:r>
            <w:r w:rsidRPr="00C379C8">
              <w:t xml:space="preserve"> To be determined; 2027</w:t>
            </w:r>
          </w:p>
        </w:tc>
      </w:tr>
      <w:tr w14:paraId="4D00558E" w14:textId="77777777" w:rsidTr="00DB13FE">
        <w:tblPrEx>
          <w:tblW w:w="5000" w:type="pct"/>
          <w:tblLayout w:type="fixed"/>
          <w:tblLook w:val="0000"/>
        </w:tblPrEx>
        <w:tc>
          <w:tcPr>
            <w:tcW w:w="607" w:type="dxa"/>
            <w:tcBorders>
              <w:bottom w:val="double" w:sz="4" w:space="0" w:color="auto"/>
            </w:tcBorders>
          </w:tcPr>
          <w:p w:rsidR="00F85C99" w:rsidRPr="002F6A28" w:rsidP="002F6A28" w14:paraId="0FA8C956"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594091AD"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1D2184D9" w14:textId="77777777">
            <w:pPr>
              <w:spacing w:before="120" w:after="120"/>
              <w:rPr>
                <w:bCs/>
              </w:rPr>
            </w:pPr>
            <w:r w:rsidRPr="002F6A28">
              <w:rPr>
                <w:b/>
              </w:rPr>
              <w:t>Final date for comments:</w:t>
            </w:r>
            <w:r w:rsidRPr="00C379C8" w:rsidR="00EE3A11">
              <w:t xml:space="preserve"> 11 December 2026</w:t>
            </w:r>
          </w:p>
          <w:p w:rsidR="000C3B6C" w:rsidRPr="00E3324D" w:rsidP="000C3B6C" w14:paraId="29F23AFF"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D75956" w:rsidRPr="006A4C49" w:rsidP="000C3B6C" w14:paraId="4CCE0B06" w14:textId="77777777">
            <w:pPr>
              <w:tabs>
                <w:tab w:val="left" w:pos="1418"/>
                <w:tab w:val="left" w:pos="2127"/>
                <w:tab w:val="left" w:pos="2835"/>
                <w:tab w:val="left" w:pos="3402"/>
              </w:tabs>
              <w:spacing w:before="120" w:after="120"/>
            </w:pPr>
            <w:r w:rsidRPr="006A4C49">
              <w:t>Friday 11 December 2026 - 23:59 – AEDT.</w:t>
            </w:r>
          </w:p>
          <w:p w:rsidR="000C3B6C" w:rsidRPr="002F6A28" w:rsidP="000C3B6C" w14:paraId="1789BC79"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1A1038E3" w14:textId="77777777">
            <w:r w:rsidRPr="00CE6C29">
              <w:t>Australian TBT Enquiry Point</w:t>
            </w:r>
          </w:p>
          <w:p w:rsidR="00CE6C29" w:rsidRPr="00CE6C29" w:rsidP="000C3B6C" w14:paraId="7B632884" w14:textId="77777777">
            <w:r w:rsidRPr="00CE6C29">
              <w:t>Department of Foreign Affairs and Trade</w:t>
            </w:r>
          </w:p>
          <w:p w:rsidR="00CE6C29" w:rsidRPr="00CE6C29" w:rsidP="000C3B6C" w14:paraId="261637CE" w14:textId="77777777">
            <w:r w:rsidRPr="00CE6C29">
              <w:t>Canberra</w:t>
            </w:r>
          </w:p>
          <w:p w:rsidR="00CE6C29" w:rsidRPr="00CE6C29" w:rsidP="000C3B6C" w14:paraId="3D67AA62" w14:textId="77777777">
            <w:pPr>
              <w:spacing w:after="120"/>
            </w:pPr>
            <w:hyperlink r:id="rId10" w:history="1">
              <w:r w:rsidRPr="00CE6C29">
                <w:rPr>
                  <w:color w:val="0000FF"/>
                  <w:u w:val="single"/>
                </w:rPr>
                <w:t>tbt.enquiry@dfat.gov.au</w:t>
              </w:r>
            </w:hyperlink>
          </w:p>
        </w:tc>
      </w:tr>
    </w:tbl>
    <w:p w:rsidR="00EE3A11" w:rsidRPr="002F6A28" w:rsidP="00887259" w14:paraId="20DF0E44" w14:textId="77777777">
      <w:pPr>
        <w:jc w:val="center"/>
      </w:pPr>
    </w:p>
    <w:sectPr w:rsidSect="00760DB3">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33E952B"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5A0E7FE"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0F07AE19"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B47244F" w14:textId="77777777">
    <w:pPr>
      <w:pStyle w:val="Header"/>
      <w:pBdr>
        <w:bottom w:val="single" w:sz="4" w:space="1" w:color="auto"/>
      </w:pBdr>
      <w:tabs>
        <w:tab w:val="clear" w:pos="4513"/>
        <w:tab w:val="clear" w:pos="9027"/>
      </w:tabs>
      <w:jc w:val="center"/>
    </w:pPr>
    <w:r w:rsidRPr="002F6A28">
      <w:t>tbtSymbol</w:t>
    </w:r>
  </w:p>
  <w:p w:rsidR="009239F7" w:rsidRPr="002F6A28" w:rsidP="009239F7" w14:paraId="0348BDE0" w14:textId="77777777">
    <w:pPr>
      <w:pStyle w:val="Header"/>
      <w:pBdr>
        <w:bottom w:val="single" w:sz="4" w:space="1" w:color="auto"/>
      </w:pBdr>
      <w:tabs>
        <w:tab w:val="clear" w:pos="4513"/>
        <w:tab w:val="clear" w:pos="9027"/>
      </w:tabs>
      <w:jc w:val="center"/>
    </w:pPr>
  </w:p>
  <w:p w:rsidR="009239F7" w:rsidRPr="002F6A28" w:rsidP="009239F7" w14:paraId="18A8DF5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218BEEF6"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197E1D2" w14:textId="77777777">
    <w:pPr>
      <w:pStyle w:val="Header"/>
      <w:pBdr>
        <w:bottom w:val="single" w:sz="4" w:space="1" w:color="auto"/>
      </w:pBdr>
      <w:tabs>
        <w:tab w:val="clear" w:pos="4513"/>
        <w:tab w:val="clear" w:pos="9027"/>
      </w:tabs>
      <w:jc w:val="center"/>
    </w:pPr>
    <w:bookmarkStart w:id="0" w:name="spsSymbolHeader"/>
    <w:r w:rsidRPr="002F6A28">
      <w:t>G/TBT/N/AUS/204</w:t>
    </w:r>
    <w:bookmarkEnd w:id="0"/>
  </w:p>
  <w:p w:rsidR="009239F7" w:rsidRPr="002F6A28" w:rsidP="009239F7" w14:paraId="0ABEFA87" w14:textId="77777777">
    <w:pPr>
      <w:pStyle w:val="Header"/>
      <w:pBdr>
        <w:bottom w:val="single" w:sz="4" w:space="1" w:color="auto"/>
      </w:pBdr>
      <w:tabs>
        <w:tab w:val="clear" w:pos="4513"/>
        <w:tab w:val="clear" w:pos="9027"/>
      </w:tabs>
      <w:jc w:val="center"/>
    </w:pPr>
  </w:p>
  <w:p w:rsidR="009239F7" w:rsidRPr="002F6A28" w:rsidP="009239F7" w14:paraId="5B9DBA39"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4CFE0ADA"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53D3244"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7AA55CC6"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34E52159" w14:textId="77777777">
          <w:pPr>
            <w:jc w:val="right"/>
            <w:rPr>
              <w:b/>
              <w:color w:val="FF0000"/>
              <w:szCs w:val="16"/>
            </w:rPr>
          </w:pPr>
        </w:p>
      </w:tc>
    </w:tr>
    <w:bookmarkEnd w:id="1"/>
    <w:tr w14:paraId="7732CB3F"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27BE39DD"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47BEA0FC" w14:textId="77777777">
          <w:pPr>
            <w:jc w:val="right"/>
            <w:rPr>
              <w:b/>
              <w:szCs w:val="16"/>
            </w:rPr>
          </w:pPr>
        </w:p>
      </w:tc>
    </w:tr>
    <w:tr w14:paraId="6CE21BFD"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72AC18B5"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4F3CDC74" w14:textId="77777777">
          <w:pPr>
            <w:jc w:val="right"/>
            <w:rPr>
              <w:b/>
              <w:szCs w:val="16"/>
            </w:rPr>
          </w:pPr>
          <w:bookmarkStart w:id="2" w:name="bmkSymbols"/>
          <w:r w:rsidRPr="002F6A28">
            <w:rPr>
              <w:b/>
              <w:szCs w:val="16"/>
            </w:rPr>
            <w:t>G/TBT/N/AUS/204</w:t>
          </w:r>
          <w:bookmarkEnd w:id="2"/>
        </w:p>
      </w:tc>
    </w:tr>
    <w:tr w14:paraId="4E08BACD"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3958AE8C" w14:textId="77777777"/>
      </w:tc>
      <w:tc>
        <w:tcPr>
          <w:tcW w:w="5448" w:type="dxa"/>
          <w:gridSpan w:val="2"/>
          <w:shd w:val="clear" w:color="auto" w:fill="FFFFFF"/>
          <w:tcMar>
            <w:left w:w="108" w:type="dxa"/>
            <w:right w:w="108" w:type="dxa"/>
          </w:tcMar>
          <w:vAlign w:val="center"/>
        </w:tcPr>
        <w:p w:rsidR="00ED54E0" w:rsidRPr="009239F7" w:rsidP="00B801E9" w14:paraId="1A2D1198" w14:textId="77777777">
          <w:pPr>
            <w:jc w:val="right"/>
            <w:rPr>
              <w:szCs w:val="16"/>
            </w:rPr>
          </w:pPr>
          <w:bookmarkStart w:id="3" w:name="spsDateDistribution"/>
          <w:bookmarkStart w:id="4" w:name="bmkDate"/>
          <w:r w:rsidRPr="009239F7">
            <w:rPr>
              <w:szCs w:val="16"/>
            </w:rPr>
            <w:t>22 October 2026</w:t>
          </w:r>
          <w:bookmarkEnd w:id="3"/>
          <w:bookmarkEnd w:id="4"/>
        </w:p>
      </w:tc>
    </w:tr>
    <w:tr w14:paraId="781575C7"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FF3285C" w14:textId="77777777">
          <w:pPr>
            <w:jc w:val="left"/>
            <w:rPr>
              <w:b/>
            </w:rPr>
          </w:pPr>
          <w:bookmarkStart w:id="5" w:name="bmkSerial"/>
          <w:r>
            <w:rPr>
              <w:rFonts w:ascii="Verdana" w:eastAsia="Verdana" w:hAnsi="Verdana" w:cs="Verdana"/>
              <w:b w:val="0"/>
              <w:color w:val="FF0000"/>
              <w:sz w:val="18"/>
            </w:rPr>
            <w:t>(26-7390)</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6E601BC0"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525AB9C7"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6A545C2F"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416171E2"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7D95D67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91326597">
    <w:abstractNumId w:val="9"/>
  </w:num>
  <w:num w:numId="2" w16cid:durableId="1941719684">
    <w:abstractNumId w:val="7"/>
  </w:num>
  <w:num w:numId="3" w16cid:durableId="1219122430">
    <w:abstractNumId w:val="6"/>
  </w:num>
  <w:num w:numId="4" w16cid:durableId="2041395250">
    <w:abstractNumId w:val="5"/>
  </w:num>
  <w:num w:numId="5" w16cid:durableId="1861773952">
    <w:abstractNumId w:val="4"/>
  </w:num>
  <w:num w:numId="6" w16cid:durableId="184558278">
    <w:abstractNumId w:val="12"/>
  </w:num>
  <w:num w:numId="7" w16cid:durableId="1753895517">
    <w:abstractNumId w:val="11"/>
  </w:num>
  <w:num w:numId="8" w16cid:durableId="2135564588">
    <w:abstractNumId w:val="10"/>
  </w:num>
  <w:num w:numId="9" w16cid:durableId="19211340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66662752">
    <w:abstractNumId w:val="13"/>
  </w:num>
  <w:num w:numId="11" w16cid:durableId="766849069">
    <w:abstractNumId w:val="8"/>
  </w:num>
  <w:num w:numId="12" w16cid:durableId="1669870862">
    <w:abstractNumId w:val="3"/>
  </w:num>
  <w:num w:numId="13" w16cid:durableId="2062515850">
    <w:abstractNumId w:val="2"/>
  </w:num>
  <w:num w:numId="14" w16cid:durableId="506679354">
    <w:abstractNumId w:val="1"/>
  </w:num>
  <w:num w:numId="15" w16cid:durableId="5619899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1E60B4"/>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D4A78"/>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66CA0"/>
    <w:rsid w:val="00F85C99"/>
    <w:rsid w:val="00F85CDF"/>
    <w:rsid w:val="00F97AEE"/>
    <w:rsid w:val="00FA4811"/>
    <w:rsid w:val="00FA5EBC"/>
    <w:rsid w:val="00FB1B6E"/>
    <w:rsid w:val="00FC5D0F"/>
    <w:rsid w:val="00FD224A"/>
    <w:rsid w:val="00FD3D96"/>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E06AE22"/>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tbt.enquiry@dfat.gov.au"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AUS/26_05501_00_e.pdf" TargetMode="External" /><Relationship Id="rId7" Type="http://schemas.openxmlformats.org/officeDocument/2006/relationships/hyperlink" Target="https://storage.googleapis.com/converlens-au/abcb/p/prj3f683abad0b768a05f00c/page/fil3fce46b1122e13083e0e0_DR_WMTS_543_20XX_Pressure_dependant_stack_vent_valve.pdf" TargetMode="External" /><Relationship Id="rId8" Type="http://schemas.openxmlformats.org/officeDocument/2006/relationships/hyperlink" Target="https://www.abcb.gov.au/Resources/Publications/Certification/Manual-for-the-WaterMark-Certification-Scheme" TargetMode="External" /><Relationship Id="rId9" Type="http://schemas.openxmlformats.org/officeDocument/2006/relationships/hyperlink" Target="https://watermark.abcb.gov.au/sites/default/files/resources/2026/WaterMark%20Schedule%20of%20Products%202026-2.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A1DC44B4-BBBC-4747-943D-CEEACC6DF282}">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679</Words>
  <Characters>3872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2026-10-22T12:22:00Z</dcterms:created>
  <dcterms:modified xsi:type="dcterms:W3CDTF">2026-10-22T12:22:00Z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INTERNAL</vt:lpwstr>
  </property>
</Properties>
</file>