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096F5F3A" w14:textId="77777777">
      <w:pPr>
        <w:pStyle w:val="Title"/>
      </w:pPr>
      <w:r w:rsidRPr="002F663C">
        <w:t>NOTIFICATION</w:t>
      </w:r>
    </w:p>
    <w:p w:rsidR="002F663C" w:rsidRPr="002F663C" w:rsidP="00DD3DD7" w14:paraId="10A4E9B9" w14:textId="77777777">
      <w:pPr>
        <w:pStyle w:val="Title3"/>
      </w:pPr>
      <w:r w:rsidRPr="002F663C">
        <w:t>Addendum</w:t>
      </w:r>
    </w:p>
    <w:p w:rsidR="002F663C" w:rsidP="001E2E4A" w14:paraId="21A713C8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22 October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Australia</w:t>
      </w:r>
      <w:r w:rsidRPr="002F663C">
        <w:rPr>
          <w:rFonts w:eastAsia="Calibri" w:cs="Times New Roman"/>
        </w:rPr>
        <w:t>.</w:t>
      </w:r>
    </w:p>
    <w:p w:rsidR="001E2E4A" w:rsidRPr="002F663C" w:rsidP="001E2E4A" w14:paraId="21AEB4A1" w14:textId="77777777">
      <w:pPr>
        <w:rPr>
          <w:rFonts w:eastAsia="Calibri" w:cs="Times New Roman"/>
        </w:rPr>
      </w:pPr>
    </w:p>
    <w:p w:rsidR="002F663C" w:rsidRPr="002F663C" w:rsidP="002F663C" w14:paraId="46543737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7D711B3" w14:textId="77777777">
      <w:pPr>
        <w:rPr>
          <w:rFonts w:eastAsia="Calibri" w:cs="Times New Roman"/>
        </w:rPr>
      </w:pPr>
    </w:p>
    <w:p w:rsidR="00C14444" w:rsidRPr="002F663C" w:rsidP="002F663C" w14:paraId="00CEB5E8" w14:textId="77777777">
      <w:pPr>
        <w:rPr>
          <w:rFonts w:eastAsia="Calibri" w:cs="Times New Roman"/>
        </w:rPr>
      </w:pPr>
    </w:p>
    <w:p w:rsidR="002F663C" w:rsidRPr="002F663C" w:rsidP="002F663C" w14:paraId="15252966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Medicine labels: Proposed changes to rules for the new standards replacing TGO 91 and TGO 92</w:t>
      </w:r>
    </w:p>
    <w:p w:rsidR="002F663C" w:rsidRPr="002F663C" w:rsidP="002F663C" w14:paraId="4DB1F6A9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1C1E9F0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F50971C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78A4E9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7384AB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59746F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C2D4D9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FF4EC8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223382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25 September 2026; Only some of the measures in the original notification have been adopted at the time of this addendum.</w:t>
            </w:r>
          </w:p>
        </w:tc>
      </w:tr>
      <w:tr w14:paraId="4F4587F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10565A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719AE6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28 September 2026; Standards were registered on the Federal Register of Legislation on 28 September 2026.</w:t>
            </w:r>
          </w:p>
        </w:tc>
      </w:tr>
      <w:tr w14:paraId="6584244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97E6FB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4291916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30 September 2026; The standards commenced on 30 September 2026 with a 5-year transition period. Medicines released for supply from 1 October 2031 must comply with the relevant standard.</w:t>
            </w:r>
          </w:p>
        </w:tc>
      </w:tr>
      <w:tr w14:paraId="0985A06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970043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795F998F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6392F763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https://www.legislation.gov.au/F2026L01311/latest/text</w:t>
              </w:r>
            </w:hyperlink>
          </w:p>
          <w:p w:rsidR="002F663C" w:rsidRPr="002F663C" w:rsidP="00EB7B40" w14:paraId="1829754C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https://www.legislation.gov.au/F2026L01312/latest/text</w:t>
              </w:r>
            </w:hyperlink>
          </w:p>
        </w:tc>
      </w:tr>
      <w:tr w14:paraId="2413B49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667674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7F31E0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4D32A8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D4F9DD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304EBF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EDE138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78A06BA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A55A83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266505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D95F69" w14:paraId="1A24E549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  <w:p w:rsidR="002F663C" w:rsidRPr="002F663C" w:rsidP="00D95F69" w14:paraId="147CE688" w14:textId="77777777">
            <w:pPr>
              <w:spacing w:before="120" w:after="120"/>
              <w:rPr>
                <w:rFonts w:eastAsia="Calibri" w:cs="Times New Roman"/>
                <w:sz w:val="16"/>
                <w:szCs w:val="16"/>
              </w:rPr>
            </w:pPr>
            <w:r w:rsidRPr="002F663C">
              <w:rPr>
                <w:rFonts w:eastAsia="Calibri" w:cs="Times New Roman"/>
                <w:sz w:val="16"/>
                <w:szCs w:val="16"/>
              </w:rPr>
              <w:t>At the time of this addendum, information about the new standards is available from:</w:t>
            </w:r>
          </w:p>
          <w:p w:rsidR="002F663C" w:rsidRPr="002F663C" w:rsidP="00D95F69" w14:paraId="16A4AE0D" w14:textId="77777777">
            <w:pPr>
              <w:spacing w:before="120" w:after="120"/>
              <w:rPr>
                <w:rFonts w:eastAsia="Calibri" w:cs="Times New Roman"/>
                <w:sz w:val="16"/>
                <w:szCs w:val="16"/>
              </w:rPr>
            </w:pPr>
            <w:hyperlink r:id="rId9" w:tgtFrame="_blank" w:history="1">
              <w:r w:rsidRPr="002F663C">
                <w:rPr>
                  <w:rFonts w:eastAsia="Calibri" w:cs="Times New Roman"/>
                  <w:color w:val="0000FF"/>
                  <w:sz w:val="16"/>
                  <w:szCs w:val="16"/>
                  <w:u w:val="single"/>
                </w:rPr>
                <w:t>https://www.tga.gov.au/news/news-articles/new-medicine-labelling-standards</w:t>
              </w:r>
            </w:hyperlink>
          </w:p>
          <w:p w:rsidR="002F663C" w:rsidRPr="002F663C" w:rsidP="00D95F69" w14:paraId="46B5D681" w14:textId="77777777">
            <w:pPr>
              <w:spacing w:before="120" w:after="120"/>
              <w:rPr>
                <w:rFonts w:eastAsia="Calibri" w:cs="Times New Roman"/>
                <w:sz w:val="16"/>
                <w:szCs w:val="16"/>
              </w:rPr>
            </w:pPr>
            <w:hyperlink r:id="rId10" w:tgtFrame="_blank" w:history="1">
              <w:r w:rsidRPr="002F663C">
                <w:rPr>
                  <w:rFonts w:eastAsia="Calibri" w:cs="Times New Roman"/>
                  <w:color w:val="0000FF"/>
                  <w:sz w:val="16"/>
                  <w:szCs w:val="16"/>
                  <w:u w:val="single"/>
                </w:rPr>
                <w:t>https://www.tga.gov.au/products/medicines/labelling-and-advertising/medicines-and-biologicals-labelling-and-packaging/medicine-labelling-requirements-information-sponsors</w:t>
              </w:r>
            </w:hyperlink>
            <w:r w:rsidRPr="002F663C" w:rsidR="003170F6">
              <w:rPr>
                <w:rFonts w:eastAsia="Calibri" w:cs="Times New Roman"/>
                <w:sz w:val="16"/>
                <w:szCs w:val="16"/>
              </w:rPr>
              <w:t>.</w:t>
            </w:r>
          </w:p>
          <w:p w:rsidR="002F663C" w:rsidRPr="002F663C" w:rsidP="00D95F69" w14:paraId="48F2EC07" w14:textId="77777777">
            <w:pPr>
              <w:spacing w:before="120" w:after="120"/>
              <w:rPr>
                <w:rFonts w:eastAsia="Calibri" w:cs="Times New Roman"/>
                <w:sz w:val="16"/>
                <w:szCs w:val="16"/>
              </w:rPr>
            </w:pPr>
            <w:r w:rsidRPr="002F663C">
              <w:rPr>
                <w:rFonts w:eastAsia="Calibri" w:cs="Times New Roman"/>
                <w:sz w:val="16"/>
                <w:szCs w:val="16"/>
              </w:rPr>
              <w:t>We will publish guidance as soon as practicable to support interpretation and implementation of the new standards.</w:t>
            </w:r>
          </w:p>
        </w:tc>
      </w:tr>
      <w:tr w14:paraId="00BC675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3323913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7685A94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56D4EDA3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41AD642D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Following consultation with stakeholders, the Therapeutic Goods Administration (TGA) introduced 2 new medicine labelling standards in September 2026 to support the safe use of medicines and reflect current labelling practices:</w:t>
      </w:r>
    </w:p>
    <w:p w:rsidR="00B24AFC" w:rsidRPr="002F663C" w:rsidP="00B16ACF" w14:paraId="33E8EF1C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Therapeutic Goods (Standard for Labelling of Prescription Medicines) (TGO 115) Order 2026</w:t>
        </w:r>
      </w:hyperlink>
    </w:p>
    <w:p w:rsidR="00B24AFC" w:rsidRPr="002F663C" w:rsidP="00B16ACF" w14:paraId="0A29DA12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Therapeutic Goods (Standard for Labelling of Non-Prescription Medicines) (TGO 116) Order 2026</w:t>
        </w:r>
      </w:hyperlink>
      <w:r w:rsidRPr="002F663C" w:rsidR="00FD141A">
        <w:rPr>
          <w:rFonts w:eastAsia="Calibri" w:cs="Times New Roman"/>
          <w:szCs w:val="18"/>
        </w:rPr>
        <w:t>.</w:t>
      </w:r>
    </w:p>
    <w:p w:rsidR="00B24AFC" w:rsidRPr="002F663C" w:rsidP="00B16ACF" w14:paraId="029F904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These standards were registered on the Federal Register of Legislation on 28 September 2026 and commenced on 30 September 2026. They replace:</w:t>
      </w:r>
    </w:p>
    <w:p w:rsidR="00B24AFC" w:rsidRPr="002F663C" w:rsidP="00B16ACF" w14:paraId="3E6F9072" w14:textId="77777777">
      <w:pPr>
        <w:numPr>
          <w:ilvl w:val="0"/>
          <w:numId w:val="18"/>
        </w:numPr>
        <w:spacing w:before="120" w:after="120"/>
        <w:rPr>
          <w:rFonts w:eastAsia="Calibri" w:cs="Times New Roman"/>
          <w:szCs w:val="18"/>
        </w:rPr>
      </w:pP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Therapeutic Goods Order No. 91 - Standard for labels of prescription and related medicines</w:t>
        </w:r>
      </w:hyperlink>
      <w:r w:rsidRPr="002F663C" w:rsidR="00FD141A">
        <w:rPr>
          <w:rFonts w:eastAsia="Calibri" w:cs="Times New Roman"/>
          <w:szCs w:val="18"/>
        </w:rPr>
        <w:t xml:space="preserve"> (TGO 91)</w:t>
      </w:r>
    </w:p>
    <w:p w:rsidR="00B24AFC" w:rsidRPr="002F663C" w:rsidP="00B16ACF" w14:paraId="59054147" w14:textId="77777777">
      <w:pPr>
        <w:numPr>
          <w:ilvl w:val="0"/>
          <w:numId w:val="18"/>
        </w:numPr>
        <w:spacing w:before="120" w:after="120"/>
        <w:rPr>
          <w:rFonts w:eastAsia="Calibri" w:cs="Times New Roman"/>
          <w:szCs w:val="18"/>
        </w:rPr>
      </w:pP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Therapeutic Goods Order No. 92 - Standard for labels of non-prescription medicines</w:t>
        </w:r>
      </w:hyperlink>
      <w:r w:rsidRPr="002F663C" w:rsidR="00FD141A">
        <w:rPr>
          <w:rFonts w:eastAsia="Calibri" w:cs="Times New Roman"/>
          <w:szCs w:val="18"/>
        </w:rPr>
        <w:t xml:space="preserve"> (TGO 92).</w:t>
      </w:r>
    </w:p>
    <w:p w:rsidR="00B24AFC" w:rsidRPr="002F663C" w:rsidP="00B16ACF" w14:paraId="39A625C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Medicine sponsors have a 5-year transition period to comply with TGO 115 and TGO 116. During the transition period:</w:t>
      </w:r>
    </w:p>
    <w:p w:rsidR="00B24AFC" w:rsidRPr="002F663C" w:rsidP="00B16ACF" w14:paraId="3604D741" w14:textId="77777777">
      <w:pPr>
        <w:numPr>
          <w:ilvl w:val="0"/>
          <w:numId w:val="19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prescription medicines may comply with either TGO 91 or TGO 115</w:t>
      </w:r>
    </w:p>
    <w:p w:rsidR="00B24AFC" w:rsidRPr="002F663C" w:rsidP="00B16ACF" w14:paraId="72C2B1C6" w14:textId="77777777">
      <w:pPr>
        <w:numPr>
          <w:ilvl w:val="0"/>
          <w:numId w:val="19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non-prescription medicines may comply with either TGO 92 or TGO 116.</w:t>
      </w:r>
    </w:p>
    <w:p w:rsidR="00B24AFC" w:rsidRPr="002F663C" w:rsidP="00B16ACF" w14:paraId="322AFEF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Sponsors may also adopt certain provisions in TGO 115 and TGO 116, in place of corresponding provisions in TGO 91 and TGO 92, before fully transitioning to the new standards.</w:t>
      </w:r>
    </w:p>
    <w:p w:rsidR="00B24AFC" w:rsidRPr="002F663C" w:rsidP="00B16ACF" w14:paraId="3684950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All medicines released for supply from 1 October 2031 must comply with the new standards.</w:t>
      </w:r>
    </w:p>
    <w:p w:rsidR="00B24AFC" w:rsidRPr="002F663C" w:rsidP="00B16ACF" w14:paraId="175565E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For more information about the transition arrangements and implementation of the new standards, see:</w:t>
      </w:r>
    </w:p>
    <w:p w:rsidR="00B24AFC" w:rsidRPr="002F663C" w:rsidP="00B16ACF" w14:paraId="423382F9" w14:textId="77777777">
      <w:pPr>
        <w:numPr>
          <w:ilvl w:val="0"/>
          <w:numId w:val="20"/>
        </w:numPr>
        <w:spacing w:before="120" w:after="120"/>
        <w:rPr>
          <w:rFonts w:eastAsia="Calibri" w:cs="Times New Roman"/>
          <w:szCs w:val="18"/>
        </w:rPr>
      </w:pP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New medicine labelling standards</w:t>
        </w:r>
      </w:hyperlink>
    </w:p>
    <w:p w:rsidR="00B24AFC" w:rsidRPr="002F663C" w:rsidP="00B16ACF" w14:paraId="4D345071" w14:textId="77777777">
      <w:pPr>
        <w:numPr>
          <w:ilvl w:val="0"/>
          <w:numId w:val="20"/>
        </w:numPr>
        <w:spacing w:before="120" w:after="120"/>
        <w:rPr>
          <w:rFonts w:eastAsia="Calibri" w:cs="Times New Roman"/>
          <w:szCs w:val="18"/>
        </w:rPr>
      </w:pP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Medicine labelling requirements: information for sponsors</w:t>
        </w:r>
      </w:hyperlink>
      <w:r w:rsidRPr="002F663C" w:rsidR="00FD141A">
        <w:rPr>
          <w:rFonts w:eastAsia="Calibri" w:cs="Times New Roman"/>
          <w:szCs w:val="18"/>
        </w:rPr>
        <w:t>.</w:t>
      </w:r>
    </w:p>
    <w:p w:rsidR="00B24AFC" w:rsidRPr="002F663C" w:rsidP="00B16ACF" w14:paraId="6AFECB8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Following consideration of stakeholder feedback during consultation, some key changes to measures proposed in the original notification include:</w:t>
      </w:r>
    </w:p>
    <w:p w:rsidR="00B24AFC" w:rsidRPr="002F663C" w:rsidP="00B16ACF" w14:paraId="4BD3CB85" w14:textId="77777777">
      <w:pPr>
        <w:numPr>
          <w:ilvl w:val="0"/>
          <w:numId w:val="21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extending the transition period from 3 years to 5 years</w:t>
      </w:r>
    </w:p>
    <w:p w:rsidR="00B24AFC" w:rsidRPr="002F663C" w:rsidP="00B16ACF" w14:paraId="17338B5B" w14:textId="77777777">
      <w:pPr>
        <w:numPr>
          <w:ilvl w:val="0"/>
          <w:numId w:val="21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not proceeding with the proposal to stop allowing embossing or debossing of batch numbers and expiry dates on the saleable pack unless they are also printed or clearly contrast with a dark background</w:t>
      </w:r>
    </w:p>
    <w:p w:rsidR="00B24AFC" w:rsidRPr="002F663C" w:rsidP="00B16ACF" w14:paraId="2F75D3F6" w14:textId="77777777">
      <w:pPr>
        <w:numPr>
          <w:ilvl w:val="0"/>
          <w:numId w:val="21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not proceeding with the proposal to increase access to information about excipient ingredients on labels of medicines that are self-selected by consumers</w:t>
      </w:r>
    </w:p>
    <w:p w:rsidR="00B24AFC" w:rsidRPr="002F663C" w:rsidP="00B16ACF" w14:paraId="56515D28" w14:textId="77777777">
      <w:pPr>
        <w:numPr>
          <w:ilvl w:val="0"/>
          <w:numId w:val="21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not proceeding with some proposed changes to requirements for declaring gluten on medicine labels.</w:t>
      </w:r>
    </w:p>
    <w:p w:rsidR="00B24AFC" w:rsidRPr="002F663C" w:rsidP="00B16ACF" w14:paraId="0A6FAAB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Read more about the results of the consultation and what we planned to do for each proposal on the consultation page: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Consultation on proposed changes to labelling of medicines supplied in Australia</w:t>
        </w:r>
      </w:hyperlink>
      <w:r w:rsidRPr="002F663C">
        <w:rPr>
          <w:rFonts w:eastAsia="Calibri" w:cs="Times New Roman"/>
          <w:szCs w:val="18"/>
        </w:rPr>
        <w:t>. After publishing the outcomes, we revised some aspects, including the transition arrangements, following further consideration and engagement with stakeholders.</w:t>
      </w:r>
    </w:p>
    <w:p w:rsidR="006C5A96" w:rsidP="006C5A96" w14:paraId="78F5DB04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0AE017CD" w14:textId="77777777">
      <w:pPr>
        <w:jc w:val="center"/>
        <w:rPr>
          <w:b/>
        </w:rPr>
      </w:pPr>
    </w:p>
    <w:p w:rsidR="00A1565D" w:rsidP="003971FF" w14:paraId="51FDC3F3" w14:textId="77777777">
      <w:pPr>
        <w:jc w:val="center"/>
        <w:rPr>
          <w:b/>
        </w:rPr>
      </w:pPr>
    </w:p>
    <w:sectPr w:rsidSect="006C5A9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824D72D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5C11FC7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D141A" w:rsidP="00ED54E0" w14:paraId="57721CF4" w14:textId="77777777">
      <w:r>
        <w:separator/>
      </w:r>
    </w:p>
  </w:footnote>
  <w:footnote w:type="continuationSeparator" w:id="1">
    <w:p w:rsidR="00FD141A" w:rsidP="00ED54E0" w14:paraId="1E185297" w14:textId="77777777">
      <w:r>
        <w:continuationSeparator/>
      </w:r>
    </w:p>
  </w:footnote>
  <w:footnote w:id="2">
    <w:p w:rsidR="007F6EA2" w14:paraId="086B8129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6D4A54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76D4B8C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9C1A86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5661F8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70C36C7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G/TBT/N/AUS/195/Add.1</w:t>
    </w:r>
    <w:bookmarkEnd w:id="3"/>
  </w:p>
  <w:p w:rsidR="00DD3DD7" w:rsidRPr="00DD3DD7" w:rsidP="00DD3DD7" w14:paraId="14241A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82C6A8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AFE7D6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EF2763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BE33789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6D6867E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45ED5579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36AD67FB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57ADFED" w14:textId="77777777">
          <w:pPr>
            <w:jc w:val="right"/>
            <w:rPr>
              <w:b/>
              <w:szCs w:val="16"/>
            </w:rPr>
          </w:pPr>
        </w:p>
      </w:tc>
    </w:tr>
    <w:tr w14:paraId="59004B2E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CF4DCA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18C1900B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G/TBT/N/AUS/195/Add.1</w:t>
          </w:r>
          <w:bookmarkEnd w:id="4"/>
        </w:p>
        <w:p w:rsidR="00C14444" w:rsidRPr="00C14444" w:rsidP="00C14444" w14:paraId="54BFB143" w14:textId="77777777">
          <w:pPr>
            <w:jc w:val="center"/>
            <w:rPr>
              <w:szCs w:val="16"/>
            </w:rPr>
          </w:pPr>
        </w:p>
      </w:tc>
    </w:tr>
    <w:tr w14:paraId="62F4D7D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B50F68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C0DA80C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22 October 2026</w:t>
          </w:r>
          <w:bookmarkEnd w:id="5"/>
        </w:p>
      </w:tc>
    </w:tr>
    <w:tr w14:paraId="7D1A1539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609E45E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(26-7394)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48AD500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138141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CAD1CB2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832D592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3F6765D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3D526BD"/>
    <w:multiLevelType w:val="hybridMultilevel"/>
    <w:tmpl w:val="63D526B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7">
    <w:nsid w:val="63D526BE"/>
    <w:multiLevelType w:val="hybridMultilevel"/>
    <w:tmpl w:val="63D526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8">
    <w:nsid w:val="63D526BF"/>
    <w:multiLevelType w:val="hybridMultilevel"/>
    <w:tmpl w:val="63D526B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93292726">
    <w:abstractNumId w:val="9"/>
  </w:num>
  <w:num w:numId="2" w16cid:durableId="660934054">
    <w:abstractNumId w:val="7"/>
  </w:num>
  <w:num w:numId="3" w16cid:durableId="1524830528">
    <w:abstractNumId w:val="6"/>
  </w:num>
  <w:num w:numId="4" w16cid:durableId="1710953493">
    <w:abstractNumId w:val="5"/>
  </w:num>
  <w:num w:numId="5" w16cid:durableId="1185052691">
    <w:abstractNumId w:val="4"/>
  </w:num>
  <w:num w:numId="6" w16cid:durableId="2094356460">
    <w:abstractNumId w:val="12"/>
  </w:num>
  <w:num w:numId="7" w16cid:durableId="1920207650">
    <w:abstractNumId w:val="11"/>
  </w:num>
  <w:num w:numId="8" w16cid:durableId="1688101020">
    <w:abstractNumId w:val="10"/>
  </w:num>
  <w:num w:numId="9" w16cid:durableId="2976918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28851233">
    <w:abstractNumId w:val="13"/>
  </w:num>
  <w:num w:numId="11" w16cid:durableId="1467820883">
    <w:abstractNumId w:val="8"/>
  </w:num>
  <w:num w:numId="12" w16cid:durableId="1994601945">
    <w:abstractNumId w:val="3"/>
  </w:num>
  <w:num w:numId="13" w16cid:durableId="724335268">
    <w:abstractNumId w:val="2"/>
  </w:num>
  <w:num w:numId="14" w16cid:durableId="1167524236">
    <w:abstractNumId w:val="1"/>
  </w:num>
  <w:num w:numId="15" w16cid:durableId="1847091127">
    <w:abstractNumId w:val="0"/>
  </w:num>
  <w:num w:numId="16" w16cid:durableId="1249845046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  <w:num w:numId="17" w16cid:durableId="1722097209">
    <w:abstractNumId w:val="14"/>
  </w:num>
  <w:num w:numId="18" w16cid:durableId="990674126">
    <w:abstractNumId w:val="15"/>
  </w:num>
  <w:num w:numId="19" w16cid:durableId="268389240">
    <w:abstractNumId w:val="16"/>
  </w:num>
  <w:num w:numId="20" w16cid:durableId="1425220570">
    <w:abstractNumId w:val="17"/>
  </w:num>
  <w:num w:numId="21" w16cid:durableId="52725878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170F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759B5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5E7A"/>
    <w:rsid w:val="00B16ACF"/>
    <w:rsid w:val="00B17BD8"/>
    <w:rsid w:val="00B230EC"/>
    <w:rsid w:val="00B24AF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09F7"/>
    <w:rsid w:val="00DD3DD7"/>
    <w:rsid w:val="00DD4208"/>
    <w:rsid w:val="00DE1F32"/>
    <w:rsid w:val="00DE50DB"/>
    <w:rsid w:val="00DE51C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03A3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141A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3178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www.tga.gov.au/products/medicines/labelling-and-advertising/medicines-and-biologicals-labelling-and-packaging/medicine-labelling-requirements-information-sponsors" TargetMode="External" /><Relationship Id="rId11" Type="http://schemas.openxmlformats.org/officeDocument/2006/relationships/hyperlink" Target="https://www.legislation.gov.au/F2016L01285/latest/text" TargetMode="External" /><Relationship Id="rId12" Type="http://schemas.openxmlformats.org/officeDocument/2006/relationships/hyperlink" Target="https://www.legislation.gov.au/F2016L01287/latest/text" TargetMode="External" /><Relationship Id="rId13" Type="http://schemas.openxmlformats.org/officeDocument/2006/relationships/hyperlink" Target="https://consultations.tga.gov.au/medicines-regulation-division/proposed-changes-to-labelling-of-medicines/" TargetMode="External" /><Relationship Id="rId14" Type="http://schemas.openxmlformats.org/officeDocument/2006/relationships/header" Target="header1.xml" /><Relationship Id="rId15" Type="http://schemas.openxmlformats.org/officeDocument/2006/relationships/header" Target="header2.xml" /><Relationship Id="rId16" Type="http://schemas.openxmlformats.org/officeDocument/2006/relationships/footer" Target="footer1.xml" /><Relationship Id="rId17" Type="http://schemas.openxmlformats.org/officeDocument/2006/relationships/footer" Target="footer2.xml" /><Relationship Id="rId18" Type="http://schemas.openxmlformats.org/officeDocument/2006/relationships/header" Target="header3.xml" /><Relationship Id="rId19" Type="http://schemas.openxmlformats.org/officeDocument/2006/relationships/theme" Target="theme/theme1.xml" /><Relationship Id="rId2" Type="http://schemas.openxmlformats.org/officeDocument/2006/relationships/settings" Target="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legislation.gov.au/F2026L01311/latest/text" TargetMode="External" /><Relationship Id="rId8" Type="http://schemas.openxmlformats.org/officeDocument/2006/relationships/hyperlink" Target="https://www.legislation.gov.au/F2026L01312/latest/text" TargetMode="External" /><Relationship Id="rId9" Type="http://schemas.openxmlformats.org/officeDocument/2006/relationships/hyperlink" Target="https://www.tga.gov.au/news/news-articles/new-medicine-labelling-standards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Carter-Johnso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26A0B-B383-4562-AA4A-DBAF46C7E014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811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2026-10-22T12:34:00Z</dcterms:created>
  <dcterms:modified xsi:type="dcterms:W3CDTF">2026-10-22T12:53:00Z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