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CDFE142" w14:textId="77777777">
      <w:pPr>
        <w:pStyle w:val="Title"/>
        <w:rPr>
          <w:caps w:val="0"/>
          <w:kern w:val="0"/>
        </w:rPr>
      </w:pPr>
      <w:r w:rsidRPr="002F6A28">
        <w:rPr>
          <w:caps w:val="0"/>
          <w:kern w:val="0"/>
        </w:rPr>
        <w:t>NOTIFICATION</w:t>
      </w:r>
    </w:p>
    <w:p w:rsidR="009239F7" w:rsidRPr="002F6A28" w:rsidP="002F6A28" w14:paraId="43D17053" w14:textId="77777777">
      <w:pPr>
        <w:jc w:val="center"/>
      </w:pPr>
      <w:r w:rsidRPr="002F6A28">
        <w:t>The following notification is being circulated in accordance with Article 10.6</w:t>
      </w:r>
    </w:p>
    <w:p w:rsidR="009239F7" w:rsidRPr="002F6A28" w:rsidP="002F6A28" w14:paraId="54CF07B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F9D8D97" w14:textId="77777777" w:rsidTr="00DB13FE">
        <w:tblPrEx>
          <w:tblW w:w="5000" w:type="pct"/>
          <w:tblLayout w:type="fixed"/>
          <w:tblLook w:val="0000"/>
        </w:tblPrEx>
        <w:tc>
          <w:tcPr>
            <w:tcW w:w="607" w:type="dxa"/>
            <w:tcBorders>
              <w:top w:val="double" w:sz="4" w:space="0" w:color="auto"/>
            </w:tcBorders>
          </w:tcPr>
          <w:p w:rsidR="00F85C99" w:rsidRPr="002F6A28" w:rsidP="002F6A28" w14:paraId="25675F4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9BF0D4C" w14:textId="77777777">
            <w:pPr>
              <w:spacing w:before="120" w:after="120"/>
            </w:pPr>
            <w:r w:rsidRPr="002F6A28">
              <w:rPr>
                <w:b/>
              </w:rPr>
              <w:t>Notifying Member:</w:t>
            </w:r>
            <w:r w:rsidRPr="00C92678" w:rsidR="00EE3A11">
              <w:t xml:space="preserve"> </w:t>
            </w:r>
            <w:r w:rsidRPr="00C92678" w:rsidR="00EE3A11">
              <w:rPr>
                <w:u w:val="single"/>
              </w:rPr>
              <w:t>PHILIPPINES</w:t>
            </w:r>
          </w:p>
          <w:p w:rsidR="00F85C99" w:rsidRPr="002F6A28" w:rsidP="002F6A28" w14:paraId="016DE2A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D3C529E" w14:textId="77777777" w:rsidTr="00DB13FE">
        <w:tblPrEx>
          <w:tblW w:w="5000" w:type="pct"/>
          <w:tblLayout w:type="fixed"/>
          <w:tblLook w:val="0000"/>
        </w:tblPrEx>
        <w:tc>
          <w:tcPr>
            <w:tcW w:w="607" w:type="dxa"/>
          </w:tcPr>
          <w:p w:rsidR="00F85C99" w:rsidRPr="002F6A28" w:rsidP="002F6A28" w14:paraId="0A4DC109" w14:textId="77777777">
            <w:pPr>
              <w:spacing w:before="120" w:after="120"/>
              <w:jc w:val="left"/>
            </w:pPr>
            <w:r w:rsidRPr="002F6A28">
              <w:rPr>
                <w:b/>
              </w:rPr>
              <w:t>2.</w:t>
            </w:r>
          </w:p>
        </w:tc>
        <w:tc>
          <w:tcPr>
            <w:tcW w:w="8373" w:type="dxa"/>
          </w:tcPr>
          <w:p w:rsidR="00F85C99" w:rsidRPr="002F6A28" w:rsidP="000C3B6C" w14:paraId="63F339EE" w14:textId="77777777">
            <w:pPr>
              <w:spacing w:before="120" w:after="120"/>
            </w:pPr>
            <w:r w:rsidRPr="002F6A28">
              <w:rPr>
                <w:b/>
              </w:rPr>
              <w:t>Agency responsible:</w:t>
            </w:r>
            <w:r w:rsidRPr="00C379C8" w:rsidR="00EE3A11">
              <w:t xml:space="preserve"> </w:t>
            </w:r>
          </w:p>
          <w:p w:rsidR="00EE3A11" w:rsidRPr="00C379C8" w:rsidP="000C3B6C" w14:paraId="05023A21" w14:textId="77777777">
            <w:r w:rsidRPr="00C379C8">
              <w:t>Mr. Neil P. Catajay</w:t>
            </w:r>
          </w:p>
          <w:p w:rsidR="00EE3A11" w:rsidRPr="00C379C8" w:rsidP="000C3B6C" w14:paraId="417CAF39" w14:textId="77777777">
            <w:r w:rsidRPr="00C379C8">
              <w:t>Director</w:t>
            </w:r>
          </w:p>
          <w:p w:rsidR="00EE3A11" w:rsidRPr="00C379C8" w:rsidP="000C3B6C" w14:paraId="675AF020" w14:textId="77777777">
            <w:r w:rsidRPr="00C379C8">
              <w:t>Bureau of Philippine Standards</w:t>
            </w:r>
          </w:p>
          <w:p w:rsidR="00EE3A11" w:rsidRPr="00C379C8" w:rsidP="000C3B6C" w14:paraId="26BAF456" w14:textId="77777777">
            <w:pPr>
              <w:spacing w:after="120"/>
            </w:pPr>
            <w:r w:rsidRPr="00C379C8">
              <w:t>Department of Trade and Industry</w:t>
            </w:r>
          </w:p>
        </w:tc>
      </w:tr>
      <w:tr w14:paraId="27FCF1C0" w14:textId="77777777" w:rsidTr="00DB13FE">
        <w:tblPrEx>
          <w:tblW w:w="5000" w:type="pct"/>
          <w:tblLayout w:type="fixed"/>
          <w:tblLook w:val="0000"/>
        </w:tblPrEx>
        <w:tc>
          <w:tcPr>
            <w:tcW w:w="607" w:type="dxa"/>
          </w:tcPr>
          <w:p w:rsidR="00F85C99" w:rsidRPr="002F6A28" w:rsidP="002F6A28" w14:paraId="3E3A6D43" w14:textId="77777777">
            <w:pPr>
              <w:spacing w:before="120" w:after="120"/>
              <w:jc w:val="left"/>
              <w:rPr>
                <w:b/>
              </w:rPr>
            </w:pPr>
            <w:r w:rsidRPr="002F6A28">
              <w:rPr>
                <w:b/>
              </w:rPr>
              <w:t>3.</w:t>
            </w:r>
          </w:p>
        </w:tc>
        <w:tc>
          <w:tcPr>
            <w:tcW w:w="8373" w:type="dxa"/>
          </w:tcPr>
          <w:p w:rsidR="00F85C99" w:rsidRPr="0058336F" w:rsidP="002F6A28" w14:paraId="627E728A"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D7E8CDB" w14:textId="77777777" w:rsidTr="00DB13FE">
        <w:tblPrEx>
          <w:tblW w:w="5000" w:type="pct"/>
          <w:tblLayout w:type="fixed"/>
          <w:tblLook w:val="0000"/>
        </w:tblPrEx>
        <w:tc>
          <w:tcPr>
            <w:tcW w:w="607" w:type="dxa"/>
          </w:tcPr>
          <w:p w:rsidR="00F85C99" w:rsidRPr="002F6A28" w:rsidP="002F6A28" w14:paraId="2DD30F85" w14:textId="77777777">
            <w:pPr>
              <w:spacing w:before="120" w:after="120"/>
              <w:jc w:val="left"/>
            </w:pPr>
            <w:r w:rsidRPr="002F6A28">
              <w:rPr>
                <w:b/>
              </w:rPr>
              <w:t>4.</w:t>
            </w:r>
          </w:p>
        </w:tc>
        <w:tc>
          <w:tcPr>
            <w:tcW w:w="8373" w:type="dxa"/>
          </w:tcPr>
          <w:p w:rsidR="00F85C99" w:rsidRPr="002F6A28" w:rsidP="002F6A28" w14:paraId="150720B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Electric road vehicles (ICS code(s): 43.120)</w:t>
            </w:r>
          </w:p>
        </w:tc>
      </w:tr>
      <w:tr w14:paraId="1CF847A6" w14:textId="77777777" w:rsidTr="00DB13FE">
        <w:tblPrEx>
          <w:tblW w:w="5000" w:type="pct"/>
          <w:tblLayout w:type="fixed"/>
          <w:tblLook w:val="0000"/>
        </w:tblPrEx>
        <w:tc>
          <w:tcPr>
            <w:tcW w:w="607" w:type="dxa"/>
          </w:tcPr>
          <w:p w:rsidR="00F85C99" w:rsidRPr="002F6A28" w:rsidP="002F6A28" w14:paraId="0AEE83E1" w14:textId="77777777">
            <w:pPr>
              <w:spacing w:before="120" w:after="120"/>
              <w:jc w:val="left"/>
            </w:pPr>
            <w:r w:rsidRPr="002F6A28">
              <w:rPr>
                <w:b/>
              </w:rPr>
              <w:t>5.</w:t>
            </w:r>
          </w:p>
        </w:tc>
        <w:tc>
          <w:tcPr>
            <w:tcW w:w="8373" w:type="dxa"/>
          </w:tcPr>
          <w:p w:rsidR="00F85C99" w:rsidP="002F6A28" w14:paraId="7B460BCD"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TECHNICAL REGULATION FOR THE MANDATORY PRODUCT CERTIFICATION OF LIGHT ELECTRIC VEHICLES AND BATTERIES FOR LEV APPLICATIONS; (34 page(s), in English)</w:t>
            </w:r>
          </w:p>
          <w:p w:rsidR="000C3B6C" w:rsidRPr="000C3B6C" w:rsidP="002F6A28" w14:paraId="493FB91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DB37B0" w:rsidRPr="00CE6C29" w:rsidP="002F6A28" w14:paraId="2CACD737"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https://members.wto.org/crnattachments/2026/TBT/PHL/26_05451_00_e.pdf</w:t>
              </w:r>
            </w:hyperlink>
          </w:p>
          <w:p w:rsidR="00DB37B0" w:rsidRPr="00CE6C29" w:rsidP="002F6A28" w14:paraId="7DC9185E" w14:textId="77777777">
            <w:pPr>
              <w:rPr>
                <w:iCs/>
              </w:rPr>
            </w:pPr>
            <w:r w:rsidRPr="00CE6C29">
              <w:rPr>
                <w:iCs/>
              </w:rPr>
              <w:t>Mr. Neil P. Catajay</w:t>
            </w:r>
          </w:p>
          <w:p w:rsidR="00DB37B0" w:rsidRPr="00CE6C29" w:rsidP="002F6A28" w14:paraId="26B8C19D" w14:textId="77777777">
            <w:pPr>
              <w:rPr>
                <w:iCs/>
              </w:rPr>
            </w:pPr>
            <w:r w:rsidRPr="00CE6C29">
              <w:rPr>
                <w:iCs/>
              </w:rPr>
              <w:t>Director</w:t>
            </w:r>
          </w:p>
          <w:p w:rsidR="00DB37B0" w:rsidRPr="00CE6C29" w:rsidP="002F6A28" w14:paraId="18E87A6E" w14:textId="77777777">
            <w:pPr>
              <w:rPr>
                <w:iCs/>
              </w:rPr>
            </w:pPr>
            <w:r w:rsidRPr="00CE6C29">
              <w:rPr>
                <w:iCs/>
              </w:rPr>
              <w:t>Bureau of Philippine Standards</w:t>
            </w:r>
          </w:p>
          <w:p w:rsidR="00DB37B0" w:rsidRPr="00CE6C29" w:rsidP="002F6A28" w14:paraId="29AD91FF" w14:textId="77777777">
            <w:pPr>
              <w:rPr>
                <w:iCs/>
              </w:rPr>
            </w:pPr>
            <w:r w:rsidRPr="00CE6C29">
              <w:rPr>
                <w:iCs/>
              </w:rPr>
              <w:t>Department of Trade and Industry</w:t>
            </w:r>
          </w:p>
          <w:p w:rsidR="00DB37B0" w:rsidRPr="00CE6C29" w:rsidP="002F6A28" w14:paraId="02C6BAC8" w14:textId="77777777">
            <w:pPr>
              <w:spacing w:after="120"/>
              <w:rPr>
                <w:iCs/>
              </w:rPr>
            </w:pPr>
            <w:r w:rsidRPr="00CE6C29">
              <w:rPr>
                <w:iCs/>
              </w:rPr>
              <w:t xml:space="preserve">Email: </w:t>
            </w:r>
            <w:hyperlink r:id="rId7" w:history="1">
              <w:r w:rsidRPr="00CE6C29">
                <w:rPr>
                  <w:iCs/>
                  <w:color w:val="0000FF"/>
                  <w:u w:val="single"/>
                </w:rPr>
                <w:t>BPS@dti.gov.ph</w:t>
              </w:r>
            </w:hyperlink>
          </w:p>
        </w:tc>
      </w:tr>
      <w:tr w14:paraId="357D6AA0" w14:textId="77777777" w:rsidTr="00DB13FE">
        <w:tblPrEx>
          <w:tblW w:w="5000" w:type="pct"/>
          <w:tblLayout w:type="fixed"/>
          <w:tblLook w:val="0000"/>
        </w:tblPrEx>
        <w:tc>
          <w:tcPr>
            <w:tcW w:w="607" w:type="dxa"/>
          </w:tcPr>
          <w:p w:rsidR="00F85C99" w:rsidRPr="002F6A28" w:rsidP="002F6A28" w14:paraId="7BE17F99" w14:textId="77777777">
            <w:pPr>
              <w:spacing w:before="120" w:after="120"/>
              <w:jc w:val="left"/>
              <w:rPr>
                <w:b/>
              </w:rPr>
            </w:pPr>
            <w:r w:rsidRPr="002F6A28">
              <w:rPr>
                <w:b/>
              </w:rPr>
              <w:t>6.</w:t>
            </w:r>
          </w:p>
        </w:tc>
        <w:tc>
          <w:tcPr>
            <w:tcW w:w="8373" w:type="dxa"/>
          </w:tcPr>
          <w:p w:rsidR="00F85C99" w:rsidRPr="002F6A28" w:rsidP="002F6A28" w14:paraId="14E90EB0" w14:textId="77777777">
            <w:pPr>
              <w:spacing w:before="120" w:after="120"/>
              <w:rPr>
                <w:b/>
              </w:rPr>
            </w:pPr>
            <w:r w:rsidRPr="002F6A28">
              <w:rPr>
                <w:b/>
              </w:rPr>
              <w:t>Description of content:</w:t>
            </w:r>
            <w:r w:rsidRPr="00C379C8" w:rsidR="00FE448B">
              <w:t xml:space="preserve"> This Department Administrative Order (DAO) aims to establish the mandatory product certification requirements for specified Light Electric Vehicles (LEVs) and batteries for LEV applications intended for importation, manufacture, distribution, or sale in the Philippines, to ensure conformity with the applicable Philippine National Standards (PNS) for electrical safety and to protect consumers and the public from hazards associated with electric shock, electrical malfunction, overheating, thermal incidents, fire, and other electrical safety risks arising from the use of such products.</w:t>
            </w:r>
          </w:p>
          <w:p w:rsidR="00FE448B" w:rsidRPr="00C379C8" w:rsidP="002F6A28" w14:paraId="4BE54463" w14:textId="77777777">
            <w:pPr>
              <w:spacing w:before="120" w:after="120"/>
            </w:pPr>
            <w:r w:rsidRPr="00C379C8">
              <w:t>This Technical Regulation further aims to support the safe and reliable adoption of electric mobility technologies in the Philippines through the implementation of appropriate mandatory product certification requirements.</w:t>
            </w:r>
          </w:p>
        </w:tc>
      </w:tr>
      <w:tr w14:paraId="6E83A113" w14:textId="77777777" w:rsidTr="00DB13FE">
        <w:tblPrEx>
          <w:tblW w:w="5000" w:type="pct"/>
          <w:tblLayout w:type="fixed"/>
          <w:tblLook w:val="0000"/>
        </w:tblPrEx>
        <w:tc>
          <w:tcPr>
            <w:tcW w:w="607" w:type="dxa"/>
          </w:tcPr>
          <w:p w:rsidR="00F85C99" w:rsidRPr="002F6A28" w:rsidP="002F6A28" w14:paraId="27703BBE" w14:textId="77777777">
            <w:pPr>
              <w:spacing w:before="120" w:after="120"/>
              <w:jc w:val="left"/>
              <w:rPr>
                <w:b/>
              </w:rPr>
            </w:pPr>
            <w:r w:rsidRPr="002F6A28">
              <w:rPr>
                <w:b/>
              </w:rPr>
              <w:t>7.</w:t>
            </w:r>
          </w:p>
        </w:tc>
        <w:tc>
          <w:tcPr>
            <w:tcW w:w="8373" w:type="dxa"/>
          </w:tcPr>
          <w:p w:rsidR="00F85C99" w:rsidRPr="002F6A28" w:rsidP="002F6A28" w14:paraId="17B0A3AB"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572AEDB3" w14:textId="77777777" w:rsidTr="00DB13FE">
        <w:tblPrEx>
          <w:tblW w:w="5000" w:type="pct"/>
          <w:tblLayout w:type="fixed"/>
          <w:tblLook w:val="0000"/>
        </w:tblPrEx>
        <w:tc>
          <w:tcPr>
            <w:tcW w:w="607" w:type="dxa"/>
          </w:tcPr>
          <w:p w:rsidR="00F85C99" w:rsidRPr="002F6A28" w:rsidP="009E75ED" w14:paraId="4AC73A75" w14:textId="77777777">
            <w:pPr>
              <w:spacing w:before="120" w:after="120"/>
              <w:jc w:val="left"/>
              <w:rPr>
                <w:b/>
              </w:rPr>
            </w:pPr>
            <w:r w:rsidRPr="002F6A28">
              <w:rPr>
                <w:b/>
              </w:rPr>
              <w:t>8.</w:t>
            </w:r>
          </w:p>
        </w:tc>
        <w:tc>
          <w:tcPr>
            <w:tcW w:w="8373" w:type="dxa"/>
          </w:tcPr>
          <w:p w:rsidR="000C3B6C" w:rsidRPr="00EC00D2" w:rsidP="007F13E8" w14:paraId="581A6B5A" w14:textId="77777777">
            <w:pPr>
              <w:spacing w:before="120" w:after="120"/>
              <w:rPr>
                <w:bCs/>
              </w:rPr>
            </w:pPr>
            <w:r w:rsidRPr="002F6A28">
              <w:rPr>
                <w:b/>
              </w:rPr>
              <w:t>Relevant documents:</w:t>
            </w:r>
            <w:r w:rsidRPr="002F6A28" w:rsidR="00EE3A11">
              <w:t xml:space="preserve"> </w:t>
            </w:r>
          </w:p>
          <w:p w:rsidR="00EE3A11" w:rsidRPr="002F6A28" w:rsidP="007F13E8" w14:paraId="0895352A" w14:textId="77777777">
            <w:pPr>
              <w:numPr>
                <w:ilvl w:val="0"/>
                <w:numId w:val="16"/>
              </w:numPr>
              <w:spacing w:before="120" w:after="120"/>
            </w:pPr>
            <w:r w:rsidRPr="002F6A28">
              <w:t>Republic Act No. 11697 "Electric Vehicle Industry Development Act (EVIDA)"</w:t>
            </w:r>
          </w:p>
          <w:p w:rsidR="00EE3A11" w:rsidRPr="002F6A28" w:rsidP="007F13E8" w14:paraId="5F253B16" w14:textId="77777777">
            <w:pPr>
              <w:numPr>
                <w:ilvl w:val="0"/>
                <w:numId w:val="16"/>
              </w:numPr>
              <w:spacing w:before="120" w:after="120"/>
            </w:pPr>
            <w:r w:rsidRPr="002F6A28">
              <w:t>Executive Order (EO) 292, Series of 1987, "Administrative Code of 1987"</w:t>
            </w:r>
          </w:p>
          <w:p w:rsidR="00EE3A11" w:rsidRPr="002F6A28" w:rsidP="007F13E8" w14:paraId="3258A8FD" w14:textId="77777777">
            <w:pPr>
              <w:numPr>
                <w:ilvl w:val="0"/>
                <w:numId w:val="16"/>
              </w:numPr>
              <w:spacing w:before="120" w:after="120"/>
            </w:pPr>
            <w:r w:rsidRPr="002F6A28">
              <w:t>Republic Act No. 4109, "Standards Law"</w:t>
            </w:r>
          </w:p>
          <w:p w:rsidR="00EE3A11" w:rsidRPr="002F6A28" w:rsidP="007F13E8" w14:paraId="0E57BE44" w14:textId="77777777">
            <w:pPr>
              <w:numPr>
                <w:ilvl w:val="0"/>
                <w:numId w:val="16"/>
              </w:numPr>
              <w:spacing w:before="120" w:after="120"/>
            </w:pPr>
            <w:r w:rsidRPr="002F6A28">
              <w:t>Republic Act 7394 "Consumer Act of the Philippines</w:t>
            </w:r>
          </w:p>
        </w:tc>
      </w:tr>
      <w:tr w14:paraId="72DD8A98" w14:textId="77777777" w:rsidTr="00DB13FE">
        <w:tblPrEx>
          <w:tblW w:w="5000" w:type="pct"/>
          <w:tblLayout w:type="fixed"/>
          <w:tblLook w:val="0000"/>
        </w:tblPrEx>
        <w:tc>
          <w:tcPr>
            <w:tcW w:w="607" w:type="dxa"/>
          </w:tcPr>
          <w:p w:rsidR="00EE3A11" w:rsidRPr="002F6A28" w:rsidP="002F6A28" w14:paraId="24EDD24E" w14:textId="77777777">
            <w:pPr>
              <w:spacing w:before="120" w:after="120"/>
              <w:jc w:val="left"/>
              <w:rPr>
                <w:b/>
              </w:rPr>
            </w:pPr>
            <w:r w:rsidRPr="002F6A28">
              <w:rPr>
                <w:b/>
              </w:rPr>
              <w:t>9.</w:t>
            </w:r>
          </w:p>
        </w:tc>
        <w:tc>
          <w:tcPr>
            <w:tcW w:w="8373" w:type="dxa"/>
          </w:tcPr>
          <w:p w:rsidR="00EE3A11" w:rsidRPr="002F6A28" w:rsidP="008953C4" w14:paraId="52A9D1DA" w14:textId="77777777">
            <w:pPr>
              <w:spacing w:before="120" w:after="120"/>
            </w:pPr>
            <w:r w:rsidRPr="002F6A28">
              <w:rPr>
                <w:b/>
              </w:rPr>
              <w:t>Proposed date of adoption:</w:t>
            </w:r>
            <w:r w:rsidRPr="00C379C8">
              <w:t xml:space="preserve"> To be determined</w:t>
            </w:r>
          </w:p>
          <w:p w:rsidR="00EE3A11" w:rsidRPr="002F6A28" w:rsidP="008953C4" w14:paraId="57E47807" w14:textId="77777777">
            <w:pPr>
              <w:spacing w:after="120"/>
            </w:pPr>
            <w:r w:rsidRPr="002F6A28">
              <w:rPr>
                <w:b/>
              </w:rPr>
              <w:t>Proposed date of entry into force:</w:t>
            </w:r>
            <w:r w:rsidRPr="00C379C8">
              <w:t xml:space="preserve"> To be determined</w:t>
            </w:r>
          </w:p>
        </w:tc>
      </w:tr>
      <w:tr w14:paraId="6D7A49C1" w14:textId="77777777" w:rsidTr="00DB13FE">
        <w:tblPrEx>
          <w:tblW w:w="5000" w:type="pct"/>
          <w:tblLayout w:type="fixed"/>
          <w:tblLook w:val="0000"/>
        </w:tblPrEx>
        <w:tc>
          <w:tcPr>
            <w:tcW w:w="607" w:type="dxa"/>
            <w:tcBorders>
              <w:bottom w:val="double" w:sz="4" w:space="0" w:color="auto"/>
            </w:tcBorders>
          </w:tcPr>
          <w:p w:rsidR="00F85C99" w:rsidRPr="002F6A28" w:rsidP="002F6A28" w14:paraId="381AD232"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7FE8E12"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B9D346F" w14:textId="77777777">
            <w:pPr>
              <w:spacing w:before="120" w:after="120"/>
              <w:rPr>
                <w:bCs/>
              </w:rPr>
            </w:pPr>
            <w:r w:rsidRPr="002F6A28">
              <w:rPr>
                <w:b/>
              </w:rPr>
              <w:t>Final date for comments:</w:t>
            </w:r>
            <w:r w:rsidRPr="00C379C8" w:rsidR="00EE3A11">
              <w:t xml:space="preserve"> 13 December 2026</w:t>
            </w:r>
          </w:p>
          <w:p w:rsidR="000C3B6C" w:rsidRPr="00E3324D" w:rsidP="000C3B6C" w14:paraId="58F175BE"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423ED7C2"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FE8103A" w14:textId="77777777">
            <w:r w:rsidRPr="00CE6C29">
              <w:t>Mr. Neil P. Catajay</w:t>
            </w:r>
          </w:p>
          <w:p w:rsidR="00CE6C29" w:rsidRPr="00CE6C29" w:rsidP="000C3B6C" w14:paraId="04C390B6" w14:textId="77777777">
            <w:r w:rsidRPr="00CE6C29">
              <w:t>Director</w:t>
            </w:r>
          </w:p>
          <w:p w:rsidR="00CE6C29" w:rsidRPr="00CE6C29" w:rsidP="000C3B6C" w14:paraId="5D935189" w14:textId="77777777">
            <w:r w:rsidRPr="00CE6C29">
              <w:t>Bureau of Philippine Standards</w:t>
            </w:r>
          </w:p>
          <w:p w:rsidR="00CE6C29" w:rsidRPr="00CE6C29" w:rsidP="000C3B6C" w14:paraId="77ABD02E" w14:textId="77777777">
            <w:r w:rsidRPr="00CE6C29">
              <w:t>Department of Trade and Industry</w:t>
            </w:r>
          </w:p>
          <w:p w:rsidR="00CE6C29" w:rsidRPr="00CE6C29" w:rsidP="000C3B6C" w14:paraId="155E65A1" w14:textId="77777777">
            <w:r w:rsidRPr="00CE6C29">
              <w:t>3F Trade and Industry Building</w:t>
            </w:r>
          </w:p>
          <w:p w:rsidR="00CE6C29" w:rsidRPr="00CE6C29" w:rsidP="000C3B6C" w14:paraId="616DA123" w14:textId="77777777">
            <w:r w:rsidRPr="00CE6C29">
              <w:t>361 Sen. Gil Puyat Avenue</w:t>
            </w:r>
          </w:p>
          <w:p w:rsidR="00CE6C29" w:rsidRPr="00CE6C29" w:rsidP="000C3B6C" w14:paraId="45CB98C7" w14:textId="77777777">
            <w:r w:rsidRPr="00CE6C29">
              <w:t>Makati City</w:t>
            </w:r>
          </w:p>
          <w:p w:rsidR="00CE6C29" w:rsidRPr="00CE6C29" w:rsidP="000C3B6C" w14:paraId="2EB0D4B3" w14:textId="77777777">
            <w:r w:rsidRPr="00CE6C29">
              <w:t>Philippines</w:t>
            </w:r>
          </w:p>
          <w:p w:rsidR="00CE6C29" w:rsidRPr="00CE6C29" w:rsidP="000C3B6C" w14:paraId="50DC98AA" w14:textId="77777777">
            <w:r w:rsidRPr="00CE6C29">
              <w:t>1200</w:t>
            </w:r>
          </w:p>
          <w:p w:rsidR="00CE6C29" w:rsidRPr="00CE6C29" w:rsidP="000C3B6C" w14:paraId="39D99018" w14:textId="77777777">
            <w:r w:rsidRPr="00CE6C29">
              <w:t>Tel: (632) 751 4700; (632) 7913128</w:t>
            </w:r>
          </w:p>
          <w:p w:rsidR="00CE6C29" w:rsidRPr="00CE6C29" w:rsidP="000C3B6C" w14:paraId="6A79B67E" w14:textId="77777777">
            <w:r w:rsidRPr="00CE6C29">
              <w:t xml:space="preserve">Email: </w:t>
            </w:r>
            <w:hyperlink r:id="rId7" w:history="1">
              <w:r w:rsidRPr="00CE6C29">
                <w:rPr>
                  <w:color w:val="0000FF"/>
                  <w:u w:val="single"/>
                </w:rPr>
                <w:t>bps@dti.gov.ph</w:t>
              </w:r>
            </w:hyperlink>
          </w:p>
          <w:p w:rsidR="00CE6C29" w:rsidRPr="00CE6C29" w:rsidP="000C3B6C" w14:paraId="5A5AEE71" w14:textId="77777777">
            <w:pPr>
              <w:spacing w:after="120"/>
            </w:pPr>
            <w:r w:rsidRPr="00CE6C29">
              <w:t xml:space="preserve">Website: </w:t>
            </w:r>
            <w:hyperlink r:id="rId8" w:tgtFrame="_blank" w:history="1">
              <w:r w:rsidRPr="00CE6C29">
                <w:rPr>
                  <w:color w:val="0000FF"/>
                  <w:u w:val="single"/>
                </w:rPr>
                <w:t>http://www.bps.dti.gov.ph</w:t>
              </w:r>
            </w:hyperlink>
          </w:p>
        </w:tc>
      </w:tr>
    </w:tbl>
    <w:p w:rsidR="00EE3A11" w:rsidRPr="002F6A28" w:rsidP="00887259" w14:paraId="076C4FC0"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587E1A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D26C19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097868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B4511E0" w14:textId="77777777">
    <w:pPr>
      <w:pStyle w:val="Header"/>
      <w:pBdr>
        <w:bottom w:val="single" w:sz="4" w:space="1" w:color="auto"/>
      </w:pBdr>
      <w:tabs>
        <w:tab w:val="clear" w:pos="4513"/>
        <w:tab w:val="clear" w:pos="9027"/>
      </w:tabs>
      <w:jc w:val="center"/>
    </w:pPr>
    <w:r w:rsidRPr="002F6A28">
      <w:t>tbtSymbol</w:t>
    </w:r>
  </w:p>
  <w:p w:rsidR="009239F7" w:rsidRPr="002F6A28" w:rsidP="009239F7" w14:paraId="73CB86C1" w14:textId="77777777">
    <w:pPr>
      <w:pStyle w:val="Header"/>
      <w:pBdr>
        <w:bottom w:val="single" w:sz="4" w:space="1" w:color="auto"/>
      </w:pBdr>
      <w:tabs>
        <w:tab w:val="clear" w:pos="4513"/>
        <w:tab w:val="clear" w:pos="9027"/>
      </w:tabs>
      <w:jc w:val="center"/>
    </w:pPr>
  </w:p>
  <w:p w:rsidR="009239F7" w:rsidRPr="002F6A28" w:rsidP="009239F7" w14:paraId="61FD85C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6024A9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40C1984" w14:textId="77777777">
    <w:pPr>
      <w:pStyle w:val="Header"/>
      <w:pBdr>
        <w:bottom w:val="single" w:sz="4" w:space="1" w:color="auto"/>
      </w:pBdr>
      <w:tabs>
        <w:tab w:val="clear" w:pos="4513"/>
        <w:tab w:val="clear" w:pos="9027"/>
      </w:tabs>
      <w:jc w:val="center"/>
    </w:pPr>
    <w:bookmarkStart w:id="0" w:name="spsSymbolHeader"/>
    <w:r w:rsidRPr="002F6A28">
      <w:t>G/TBT/N/PHL/378</w:t>
    </w:r>
    <w:bookmarkEnd w:id="0"/>
  </w:p>
  <w:p w:rsidR="009239F7" w:rsidRPr="002F6A28" w:rsidP="009239F7" w14:paraId="1F3BAEED" w14:textId="77777777">
    <w:pPr>
      <w:pStyle w:val="Header"/>
      <w:pBdr>
        <w:bottom w:val="single" w:sz="4" w:space="1" w:color="auto"/>
      </w:pBdr>
      <w:tabs>
        <w:tab w:val="clear" w:pos="4513"/>
        <w:tab w:val="clear" w:pos="9027"/>
      </w:tabs>
      <w:jc w:val="center"/>
    </w:pPr>
  </w:p>
  <w:p w:rsidR="009239F7" w:rsidRPr="002F6A28" w:rsidP="009239F7" w14:paraId="4FB288F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F3E82B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B2F6328"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EE561C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0E5CE7C" w14:textId="77777777">
          <w:pPr>
            <w:jc w:val="right"/>
            <w:rPr>
              <w:b/>
              <w:color w:val="FF0000"/>
              <w:szCs w:val="16"/>
            </w:rPr>
          </w:pPr>
        </w:p>
      </w:tc>
    </w:tr>
    <w:bookmarkEnd w:id="1"/>
    <w:tr w14:paraId="7B783DB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3FBD5E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F495615" w14:textId="77777777">
          <w:pPr>
            <w:jc w:val="right"/>
            <w:rPr>
              <w:b/>
              <w:szCs w:val="16"/>
            </w:rPr>
          </w:pPr>
        </w:p>
      </w:tc>
    </w:tr>
    <w:tr w14:paraId="035BFF6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EE395E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BF9A5D8" w14:textId="77777777">
          <w:pPr>
            <w:jc w:val="right"/>
            <w:rPr>
              <w:b/>
              <w:szCs w:val="16"/>
            </w:rPr>
          </w:pPr>
          <w:bookmarkStart w:id="2" w:name="bmkSymbols"/>
          <w:r w:rsidRPr="002F6A28">
            <w:rPr>
              <w:b/>
              <w:szCs w:val="16"/>
            </w:rPr>
            <w:t>G/TBT/N/PHL/378</w:t>
          </w:r>
          <w:bookmarkEnd w:id="2"/>
        </w:p>
      </w:tc>
    </w:tr>
    <w:tr w14:paraId="73B9A0F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B62B5A9" w14:textId="77777777"/>
      </w:tc>
      <w:tc>
        <w:tcPr>
          <w:tcW w:w="5448" w:type="dxa"/>
          <w:gridSpan w:val="2"/>
          <w:shd w:val="clear" w:color="auto" w:fill="FFFFFF"/>
          <w:tcMar>
            <w:left w:w="108" w:type="dxa"/>
            <w:right w:w="108" w:type="dxa"/>
          </w:tcMar>
          <w:vAlign w:val="center"/>
        </w:tcPr>
        <w:p w:rsidR="00ED54E0" w:rsidRPr="009239F7" w:rsidP="00B801E9" w14:paraId="14E01606" w14:textId="77777777">
          <w:pPr>
            <w:jc w:val="right"/>
            <w:rPr>
              <w:szCs w:val="16"/>
            </w:rPr>
          </w:pPr>
          <w:bookmarkStart w:id="3" w:name="spsDateDistribution"/>
          <w:bookmarkStart w:id="4" w:name="bmkDate"/>
          <w:r w:rsidRPr="009239F7">
            <w:rPr>
              <w:szCs w:val="16"/>
            </w:rPr>
            <w:t>20 October 2026</w:t>
          </w:r>
          <w:bookmarkEnd w:id="3"/>
          <w:bookmarkEnd w:id="4"/>
        </w:p>
      </w:tc>
    </w:tr>
    <w:tr w14:paraId="0FBD0AC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36049AB" w14:textId="77777777">
          <w:pPr>
            <w:jc w:val="left"/>
            <w:rPr>
              <w:b/>
            </w:rPr>
          </w:pPr>
          <w:bookmarkStart w:id="5" w:name="bmkSerial"/>
          <w:r>
            <w:rPr>
              <w:rFonts w:ascii="Verdana" w:eastAsia="Verdana" w:hAnsi="Verdana" w:cs="Verdana"/>
              <w:b w:val="0"/>
              <w:color w:val="FF0000"/>
              <w:sz w:val="18"/>
            </w:rPr>
            <w:t>(26-7305)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FF6F26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9C2198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252DC6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FDDC45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465ABE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656639828">
    <w:abstractNumId w:val="9"/>
  </w:num>
  <w:num w:numId="2" w16cid:durableId="512838416">
    <w:abstractNumId w:val="7"/>
  </w:num>
  <w:num w:numId="3" w16cid:durableId="72094180">
    <w:abstractNumId w:val="6"/>
  </w:num>
  <w:num w:numId="4" w16cid:durableId="345640270">
    <w:abstractNumId w:val="5"/>
  </w:num>
  <w:num w:numId="5" w16cid:durableId="88820183">
    <w:abstractNumId w:val="4"/>
  </w:num>
  <w:num w:numId="6" w16cid:durableId="1609779348">
    <w:abstractNumId w:val="12"/>
  </w:num>
  <w:num w:numId="7" w16cid:durableId="353748">
    <w:abstractNumId w:val="11"/>
  </w:num>
  <w:num w:numId="8" w16cid:durableId="1656955419">
    <w:abstractNumId w:val="10"/>
  </w:num>
  <w:num w:numId="9" w16cid:durableId="2549405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8362229">
    <w:abstractNumId w:val="13"/>
  </w:num>
  <w:num w:numId="11" w16cid:durableId="378281471">
    <w:abstractNumId w:val="8"/>
  </w:num>
  <w:num w:numId="12" w16cid:durableId="1896550298">
    <w:abstractNumId w:val="3"/>
  </w:num>
  <w:num w:numId="13" w16cid:durableId="760103232">
    <w:abstractNumId w:val="2"/>
  </w:num>
  <w:num w:numId="14" w16cid:durableId="995302377">
    <w:abstractNumId w:val="1"/>
  </w:num>
  <w:num w:numId="15" w16cid:durableId="1113982614">
    <w:abstractNumId w:val="0"/>
  </w:num>
  <w:num w:numId="16" w16cid:durableId="192828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282B"/>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3577F"/>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B0739"/>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B37B0"/>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6F4E45"/>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PHL/26_05451_00_e.pdf" TargetMode="External" /><Relationship Id="rId7" Type="http://schemas.openxmlformats.org/officeDocument/2006/relationships/hyperlink" Target="mailto:BPS@dti.gov.ph" TargetMode="External" /><Relationship Id="rId8" Type="http://schemas.openxmlformats.org/officeDocument/2006/relationships/hyperlink" Target="http://www.bps.dti.gov.p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D7C78E22-96A4-4F25-B204-BF43C5E7358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2026-10-20T09:36:00Z</dcterms:created>
  <dcterms:modified xsi:type="dcterms:W3CDTF">2026-10-20T09:36:00Z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