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218F27E" w14:textId="77777777">
      <w:pPr>
        <w:pStyle w:val="Title"/>
        <w:rPr>
          <w:caps w:val="0"/>
          <w:kern w:val="0"/>
        </w:rPr>
      </w:pPr>
      <w:r w:rsidRPr="002F6A28">
        <w:rPr>
          <w:caps w:val="0"/>
          <w:kern w:val="0"/>
        </w:rPr>
        <w:t>NOTIFICATION</w:t>
      </w:r>
    </w:p>
    <w:p w:rsidR="009239F7" w:rsidRPr="002F6A28" w:rsidP="002F6A28" w14:paraId="521B931B" w14:textId="77777777">
      <w:pPr>
        <w:jc w:val="center"/>
      </w:pPr>
      <w:r w:rsidRPr="002F6A28">
        <w:t>The following notification is being circulated in accordance with Article 10.6</w:t>
      </w:r>
    </w:p>
    <w:p w:rsidR="009239F7" w:rsidRPr="002F6A28" w:rsidP="002F6A28" w14:paraId="06E749A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1A1E555" w14:textId="77777777" w:rsidTr="00DB13FE">
        <w:tblPrEx>
          <w:tblW w:w="5000" w:type="pct"/>
          <w:tblLayout w:type="fixed"/>
          <w:tblLook w:val="0000"/>
        </w:tblPrEx>
        <w:tc>
          <w:tcPr>
            <w:tcW w:w="607" w:type="dxa"/>
            <w:tcBorders>
              <w:top w:val="double" w:sz="4" w:space="0" w:color="auto"/>
            </w:tcBorders>
          </w:tcPr>
          <w:p w:rsidR="00F85C99" w:rsidRPr="002F6A28" w:rsidP="002F6A28" w14:paraId="7201532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7DFBD96" w14:textId="77777777">
            <w:pPr>
              <w:spacing w:before="120" w:after="120"/>
            </w:pPr>
            <w:r w:rsidRPr="002F6A28">
              <w:rPr>
                <w:b/>
              </w:rPr>
              <w:t>Notifying Member:</w:t>
            </w:r>
            <w:r w:rsidRPr="00C92678" w:rsidR="00EE3A11">
              <w:t xml:space="preserve"> </w:t>
            </w:r>
            <w:r w:rsidRPr="00C92678" w:rsidR="00EE3A11">
              <w:rPr>
                <w:u w:val="single"/>
              </w:rPr>
              <w:t>THE STATE OF KUWAIT</w:t>
            </w:r>
          </w:p>
          <w:p w:rsidR="00F85C99" w:rsidRPr="002F6A28" w:rsidP="002F6A28" w14:paraId="1D78E2C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D7CF2A6" w14:textId="77777777" w:rsidTr="00DB13FE">
        <w:tblPrEx>
          <w:tblW w:w="5000" w:type="pct"/>
          <w:tblLayout w:type="fixed"/>
          <w:tblLook w:val="0000"/>
        </w:tblPrEx>
        <w:tc>
          <w:tcPr>
            <w:tcW w:w="607" w:type="dxa"/>
          </w:tcPr>
          <w:p w:rsidR="00F85C99" w:rsidRPr="002F6A28" w:rsidP="002F6A28" w14:paraId="7AE7C850" w14:textId="77777777">
            <w:pPr>
              <w:spacing w:before="120" w:after="120"/>
              <w:jc w:val="left"/>
            </w:pPr>
            <w:r w:rsidRPr="002F6A28">
              <w:rPr>
                <w:b/>
              </w:rPr>
              <w:t>2.</w:t>
            </w:r>
          </w:p>
        </w:tc>
        <w:tc>
          <w:tcPr>
            <w:tcW w:w="8373" w:type="dxa"/>
          </w:tcPr>
          <w:p w:rsidR="00F85C99" w:rsidRPr="002F6A28" w:rsidP="000C3B6C" w14:paraId="28FCAE7C" w14:textId="77777777">
            <w:pPr>
              <w:spacing w:before="120" w:after="120"/>
            </w:pPr>
            <w:r w:rsidRPr="002F6A28">
              <w:rPr>
                <w:b/>
              </w:rPr>
              <w:t>Agency responsible:</w:t>
            </w:r>
            <w:r w:rsidRPr="00C379C8" w:rsidR="00EE3A11">
              <w:t xml:space="preserve"> </w:t>
            </w:r>
          </w:p>
          <w:p w:rsidR="00EE3A11" w:rsidRPr="00C379C8" w:rsidP="000C3B6C" w14:paraId="00BE839F" w14:textId="77777777">
            <w:r w:rsidRPr="00C379C8">
              <w:t>Public Authority for Industry</w:t>
            </w:r>
          </w:p>
          <w:p w:rsidR="00EE3A11" w:rsidRPr="00C379C8" w:rsidP="000C3B6C" w14:paraId="27CC238F" w14:textId="77777777">
            <w:pPr>
              <w:spacing w:after="120"/>
            </w:pPr>
            <w:r w:rsidRPr="00C379C8">
              <w:t>Standard and Metrology Department (KOWSMD)</w:t>
            </w:r>
          </w:p>
        </w:tc>
      </w:tr>
      <w:tr w14:paraId="521652FA" w14:textId="77777777" w:rsidTr="00DB13FE">
        <w:tblPrEx>
          <w:tblW w:w="5000" w:type="pct"/>
          <w:tblLayout w:type="fixed"/>
          <w:tblLook w:val="0000"/>
        </w:tblPrEx>
        <w:tc>
          <w:tcPr>
            <w:tcW w:w="607" w:type="dxa"/>
          </w:tcPr>
          <w:p w:rsidR="00F85C99" w:rsidRPr="002F6A28" w:rsidP="002F6A28" w14:paraId="1D75BD82" w14:textId="77777777">
            <w:pPr>
              <w:spacing w:before="120" w:after="120"/>
              <w:jc w:val="left"/>
              <w:rPr>
                <w:b/>
              </w:rPr>
            </w:pPr>
            <w:r w:rsidRPr="002F6A28">
              <w:rPr>
                <w:b/>
              </w:rPr>
              <w:t>3.</w:t>
            </w:r>
          </w:p>
        </w:tc>
        <w:tc>
          <w:tcPr>
            <w:tcW w:w="8373" w:type="dxa"/>
          </w:tcPr>
          <w:p w:rsidR="00F85C99" w:rsidRPr="0058336F" w:rsidP="002F6A28" w14:paraId="48F3F54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5DD2368" w14:textId="77777777" w:rsidTr="00DB13FE">
        <w:tblPrEx>
          <w:tblW w:w="5000" w:type="pct"/>
          <w:tblLayout w:type="fixed"/>
          <w:tblLook w:val="0000"/>
        </w:tblPrEx>
        <w:tc>
          <w:tcPr>
            <w:tcW w:w="607" w:type="dxa"/>
          </w:tcPr>
          <w:p w:rsidR="00F85C99" w:rsidRPr="002F6A28" w:rsidP="002F6A28" w14:paraId="3D7A3004" w14:textId="77777777">
            <w:pPr>
              <w:spacing w:before="120" w:after="120"/>
              <w:jc w:val="left"/>
            </w:pPr>
            <w:r w:rsidRPr="002F6A28">
              <w:rPr>
                <w:b/>
              </w:rPr>
              <w:t>4.</w:t>
            </w:r>
          </w:p>
        </w:tc>
        <w:tc>
          <w:tcPr>
            <w:tcW w:w="8373" w:type="dxa"/>
          </w:tcPr>
          <w:p w:rsidR="00F85C99" w:rsidRPr="002F6A28" w:rsidP="002F6A28" w14:paraId="1390D23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All products fall under scope of " Switches for appliances - Part 2-1: Particular requirements for cord switches " </w:t>
            </w:r>
          </w:p>
        </w:tc>
      </w:tr>
      <w:tr w14:paraId="0922075B" w14:textId="77777777" w:rsidTr="00DB13FE">
        <w:tblPrEx>
          <w:tblW w:w="5000" w:type="pct"/>
          <w:tblLayout w:type="fixed"/>
          <w:tblLook w:val="0000"/>
        </w:tblPrEx>
        <w:tc>
          <w:tcPr>
            <w:tcW w:w="607" w:type="dxa"/>
          </w:tcPr>
          <w:p w:rsidR="00F85C99" w:rsidRPr="002F6A28" w:rsidP="002F6A28" w14:paraId="7FA412B0" w14:textId="77777777">
            <w:pPr>
              <w:spacing w:before="120" w:after="120"/>
              <w:jc w:val="left"/>
            </w:pPr>
            <w:r w:rsidRPr="002F6A28">
              <w:rPr>
                <w:b/>
              </w:rPr>
              <w:t>5.</w:t>
            </w:r>
          </w:p>
        </w:tc>
        <w:tc>
          <w:tcPr>
            <w:tcW w:w="8373" w:type="dxa"/>
          </w:tcPr>
          <w:p w:rsidR="00F85C99" w:rsidP="002F6A28" w14:paraId="546DD5D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Switches for appliances - Part 2-1: Particular requirements for cord switches;; (26 page(s), in English), (26 page(s), in French)</w:t>
            </w:r>
          </w:p>
          <w:p w:rsidR="000C3B6C" w:rsidRPr="000C3B6C" w:rsidP="002F6A28" w14:paraId="14B13BC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A24CF" w:rsidRPr="00CE6C29" w:rsidP="002F6A28" w14:paraId="6E4FDEC4"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https://members.wto.org/crnattachments/2026/TBT/KWT/26_05239_00_e.pdf</w:t>
              </w:r>
            </w:hyperlink>
          </w:p>
        </w:tc>
      </w:tr>
      <w:tr w14:paraId="2E112E59" w14:textId="77777777" w:rsidTr="00DB13FE">
        <w:tblPrEx>
          <w:tblW w:w="5000" w:type="pct"/>
          <w:tblLayout w:type="fixed"/>
          <w:tblLook w:val="0000"/>
        </w:tblPrEx>
        <w:tc>
          <w:tcPr>
            <w:tcW w:w="607" w:type="dxa"/>
          </w:tcPr>
          <w:p w:rsidR="00F85C99" w:rsidRPr="002F6A28" w:rsidP="002F6A28" w14:paraId="7980F52A" w14:textId="77777777">
            <w:pPr>
              <w:spacing w:before="120" w:after="120"/>
              <w:jc w:val="left"/>
              <w:rPr>
                <w:b/>
              </w:rPr>
            </w:pPr>
            <w:r w:rsidRPr="002F6A28">
              <w:rPr>
                <w:b/>
              </w:rPr>
              <w:t>6.</w:t>
            </w:r>
          </w:p>
        </w:tc>
        <w:tc>
          <w:tcPr>
            <w:tcW w:w="8373" w:type="dxa"/>
          </w:tcPr>
          <w:p w:rsidR="00F85C99" w:rsidRPr="002F6A28" w:rsidP="002F6A28" w14:paraId="634A348E" w14:textId="77777777">
            <w:pPr>
              <w:spacing w:before="120" w:after="120"/>
              <w:rPr>
                <w:b/>
              </w:rPr>
            </w:pPr>
            <w:r w:rsidRPr="002F6A28">
              <w:rPr>
                <w:b/>
              </w:rPr>
              <w:t>Description of content:</w:t>
            </w:r>
            <w:r w:rsidRPr="00C379C8" w:rsidR="00FE448B">
              <w:t xml:space="preserve"> Clause 1 of IEC 61058-1:2016 is applicable except as follows:</w:t>
            </w:r>
          </w:p>
          <w:p w:rsidR="00FE448B" w:rsidRPr="00C379C8" w:rsidP="002F6A28" w14:paraId="30CF25CC" w14:textId="77777777">
            <w:pPr>
              <w:spacing w:before="120" w:after="120"/>
            </w:pPr>
            <w:r w:rsidRPr="00C379C8">
              <w:t>Addition:</w:t>
            </w:r>
          </w:p>
          <w:p w:rsidR="00FE448B" w:rsidRPr="00C379C8" w:rsidP="002F6A28" w14:paraId="15E9C067" w14:textId="77777777">
            <w:pPr>
              <w:spacing w:before="120" w:after="120"/>
            </w:pPr>
            <w:r w:rsidRPr="00C379C8">
              <w:t>This document applies to cord switches (mechanical or electronic) for appliances actuated by hand, by foot or by other human activity, to operate or control electrical appliances and other equipment for household or similar purposes with a rated voltage not exceeding 250 V and a rated current not exceeding 16 A.</w:t>
            </w:r>
          </w:p>
          <w:p w:rsidR="00FE448B" w:rsidRPr="00C379C8" w:rsidP="002F6A28" w14:paraId="4386F939" w14:textId="77777777">
            <w:pPr>
              <w:spacing w:before="120" w:after="120"/>
            </w:pPr>
            <w:r w:rsidRPr="00C379C8">
              <w:t>Throughout this document, the word "appliance" means "appliance or equipment".</w:t>
            </w:r>
          </w:p>
          <w:p w:rsidR="00FE448B" w:rsidRPr="00C379C8" w:rsidP="002F6A28" w14:paraId="2C13D653" w14:textId="77777777">
            <w:pPr>
              <w:spacing w:before="120" w:after="120"/>
            </w:pPr>
            <w:r w:rsidRPr="00C379C8">
              <w:t>These switches are intended to be operated by a person, via an actuating member or by actuating a sensing unit. The actuating member or sensing unit can be integral or arranged separately from the switch. The transmission of a signal between the actuating member or sensing unit and the switch can be made either physically or electrically (for example, electrical, optical, acoustic or thermal).</w:t>
            </w:r>
          </w:p>
          <w:p w:rsidR="00FE448B" w:rsidRPr="00C379C8" w:rsidP="002F6A28" w14:paraId="10120718" w14:textId="77777777">
            <w:pPr>
              <w:spacing w:before="120" w:after="120"/>
            </w:pPr>
            <w:r w:rsidRPr="00C379C8">
              <w:t>Switches which incorporate additional control functions governed by the switch function are within the scope of this document.</w:t>
            </w:r>
          </w:p>
          <w:p w:rsidR="00FE448B" w:rsidRPr="00C379C8" w:rsidP="002F6A28" w14:paraId="1EA6EE80" w14:textId="77777777">
            <w:pPr>
              <w:spacing w:before="120" w:after="120"/>
            </w:pPr>
            <w:r w:rsidRPr="00C379C8">
              <w:t>This document also covers the indirect actuation of the switch when the operation of the actuating member or sensing unit is provided by a remote control or a part of an appliance such as a door.</w:t>
            </w:r>
          </w:p>
          <w:p w:rsidR="00FE448B" w:rsidRPr="00C379C8" w:rsidP="002F6A28" w14:paraId="0518629F" w14:textId="77777777">
            <w:pPr>
              <w:spacing w:before="120" w:after="120"/>
            </w:pPr>
            <w:r w:rsidRPr="00C379C8">
              <w:t>NOTE 1 Electronic switches can be combined with mechanical switches giving full disconnection or microdisconnection.</w:t>
            </w:r>
          </w:p>
          <w:p w:rsidR="00FE448B" w:rsidRPr="00C379C8" w:rsidP="002F6A28" w14:paraId="138C1122" w14:textId="77777777">
            <w:pPr>
              <w:spacing w:before="120" w:after="120"/>
            </w:pPr>
            <w:r w:rsidRPr="00C379C8">
              <w:t>NOTE 2 Electronic switches without a mechanical switch in the supply circuit provide only electronic disconnection. Therefore, the circuit on the load side is always considered to be live.</w:t>
            </w:r>
          </w:p>
          <w:p w:rsidR="00FE448B" w:rsidRPr="00C379C8" w:rsidP="002F6A28" w14:paraId="7F79EEA2" w14:textId="77777777">
            <w:pPr>
              <w:spacing w:before="120" w:after="120"/>
            </w:pPr>
            <w:r w:rsidRPr="00C379C8">
              <w:t>NOTE 3 For switches used in tropical climates, additional requirements can apply.</w:t>
            </w:r>
          </w:p>
          <w:p w:rsidR="00FE448B" w:rsidRPr="00C379C8" w:rsidP="002F6A28" w14:paraId="03C4C048" w14:textId="77777777">
            <w:pPr>
              <w:spacing w:before="120" w:after="120"/>
            </w:pPr>
            <w:r w:rsidRPr="00C379C8">
              <w:t>NOTE 4 Attention is drawn to the fact that the standards for appliances can contain additional or alternative requirements for switches</w:t>
            </w:r>
          </w:p>
        </w:tc>
      </w:tr>
      <w:tr w14:paraId="78601666" w14:textId="77777777" w:rsidTr="00DB13FE">
        <w:tblPrEx>
          <w:tblW w:w="5000" w:type="pct"/>
          <w:tblLayout w:type="fixed"/>
          <w:tblLook w:val="0000"/>
        </w:tblPrEx>
        <w:tc>
          <w:tcPr>
            <w:tcW w:w="607" w:type="dxa"/>
          </w:tcPr>
          <w:p w:rsidR="00F85C99" w:rsidRPr="002F6A28" w:rsidP="002F6A28" w14:paraId="642BDBE7" w14:textId="77777777">
            <w:pPr>
              <w:spacing w:before="120" w:after="120"/>
              <w:jc w:val="left"/>
              <w:rPr>
                <w:b/>
              </w:rPr>
            </w:pPr>
            <w:r w:rsidRPr="002F6A28">
              <w:rPr>
                <w:b/>
              </w:rPr>
              <w:t>7.</w:t>
            </w:r>
          </w:p>
        </w:tc>
        <w:tc>
          <w:tcPr>
            <w:tcW w:w="8373" w:type="dxa"/>
          </w:tcPr>
          <w:p w:rsidR="00F85C99" w:rsidRPr="002F6A28" w:rsidP="002F6A28" w14:paraId="01A02961"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2A838A70" w14:textId="77777777" w:rsidTr="00DB13FE">
        <w:tblPrEx>
          <w:tblW w:w="5000" w:type="pct"/>
          <w:tblLayout w:type="fixed"/>
          <w:tblLook w:val="0000"/>
        </w:tblPrEx>
        <w:tc>
          <w:tcPr>
            <w:tcW w:w="607" w:type="dxa"/>
          </w:tcPr>
          <w:p w:rsidR="00F85C99" w:rsidRPr="002F6A28" w:rsidP="009E75ED" w14:paraId="19482EAF" w14:textId="77777777">
            <w:pPr>
              <w:spacing w:before="120" w:after="120"/>
              <w:jc w:val="left"/>
              <w:rPr>
                <w:b/>
              </w:rPr>
            </w:pPr>
            <w:r w:rsidRPr="002F6A28">
              <w:rPr>
                <w:b/>
              </w:rPr>
              <w:t>8.</w:t>
            </w:r>
          </w:p>
        </w:tc>
        <w:tc>
          <w:tcPr>
            <w:tcW w:w="8373" w:type="dxa"/>
          </w:tcPr>
          <w:p w:rsidR="000C3B6C" w:rsidRPr="00EC00D2" w:rsidP="007F13E8" w14:paraId="0133B6AF" w14:textId="77777777">
            <w:pPr>
              <w:spacing w:before="120" w:after="120"/>
              <w:rPr>
                <w:bCs/>
              </w:rPr>
            </w:pPr>
            <w:r w:rsidRPr="002F6A28">
              <w:rPr>
                <w:b/>
              </w:rPr>
              <w:t>Relevant documents:</w:t>
            </w:r>
            <w:r w:rsidRPr="002F6A28" w:rsidR="00EE3A11">
              <w:t xml:space="preserve"> </w:t>
            </w:r>
          </w:p>
          <w:p w:rsidR="00EE3A11" w:rsidRPr="002F6A28" w:rsidP="007F13E8" w14:paraId="37F41983" w14:textId="77777777">
            <w:pPr>
              <w:spacing w:before="120" w:after="120"/>
            </w:pPr>
            <w:r w:rsidRPr="002F6A28">
              <w:t>GSO IEC 61058-2-1:2025 (Switches for appliances - Part 2-1: Particular requirements for cord switches)</w:t>
            </w:r>
          </w:p>
        </w:tc>
      </w:tr>
      <w:tr w14:paraId="3FF21C02" w14:textId="77777777" w:rsidTr="00DB13FE">
        <w:tblPrEx>
          <w:tblW w:w="5000" w:type="pct"/>
          <w:tblLayout w:type="fixed"/>
          <w:tblLook w:val="0000"/>
        </w:tblPrEx>
        <w:tc>
          <w:tcPr>
            <w:tcW w:w="607" w:type="dxa"/>
          </w:tcPr>
          <w:p w:rsidR="00EE3A11" w:rsidRPr="002F6A28" w:rsidP="002F6A28" w14:paraId="1362B372" w14:textId="77777777">
            <w:pPr>
              <w:spacing w:before="120" w:after="120"/>
              <w:jc w:val="left"/>
              <w:rPr>
                <w:b/>
              </w:rPr>
            </w:pPr>
            <w:r w:rsidRPr="002F6A28">
              <w:rPr>
                <w:b/>
              </w:rPr>
              <w:t>9.</w:t>
            </w:r>
          </w:p>
        </w:tc>
        <w:tc>
          <w:tcPr>
            <w:tcW w:w="8373" w:type="dxa"/>
          </w:tcPr>
          <w:p w:rsidR="00EE3A11" w:rsidRPr="002F6A28" w:rsidP="008953C4" w14:paraId="4C8ADE33" w14:textId="77777777">
            <w:pPr>
              <w:spacing w:before="120" w:after="120"/>
            </w:pPr>
            <w:r w:rsidRPr="002F6A28">
              <w:rPr>
                <w:b/>
              </w:rPr>
              <w:t>Proposed date of adoption:</w:t>
            </w:r>
            <w:r w:rsidRPr="00C379C8">
              <w:t xml:space="preserve"> 30 days from final date for comments</w:t>
            </w:r>
          </w:p>
          <w:p w:rsidR="00EE3A11" w:rsidRPr="002F6A28" w:rsidP="008953C4" w14:paraId="067B36CD" w14:textId="77777777">
            <w:pPr>
              <w:spacing w:after="120"/>
            </w:pPr>
            <w:r w:rsidRPr="002F6A28">
              <w:rPr>
                <w:b/>
              </w:rPr>
              <w:t>Proposed date of entry into force:</w:t>
            </w:r>
            <w:r w:rsidRPr="00C379C8">
              <w:t xml:space="preserve"> 1 year from adoption</w:t>
            </w:r>
          </w:p>
        </w:tc>
      </w:tr>
      <w:tr w14:paraId="4FD9514D" w14:textId="77777777" w:rsidTr="00DB13FE">
        <w:tblPrEx>
          <w:tblW w:w="5000" w:type="pct"/>
          <w:tblLayout w:type="fixed"/>
          <w:tblLook w:val="0000"/>
        </w:tblPrEx>
        <w:tc>
          <w:tcPr>
            <w:tcW w:w="607" w:type="dxa"/>
            <w:tcBorders>
              <w:bottom w:val="double" w:sz="4" w:space="0" w:color="auto"/>
            </w:tcBorders>
          </w:tcPr>
          <w:p w:rsidR="00F85C99" w:rsidRPr="002F6A28" w:rsidP="002F6A28" w14:paraId="462941C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7CD735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FCDC636" w14:textId="77777777">
            <w:pPr>
              <w:spacing w:before="120" w:after="120"/>
              <w:rPr>
                <w:bCs/>
              </w:rPr>
            </w:pPr>
            <w:r w:rsidRPr="002F6A28">
              <w:rPr>
                <w:b/>
              </w:rPr>
              <w:t>Final date for comments:</w:t>
            </w:r>
            <w:r w:rsidRPr="00C379C8" w:rsidR="00EE3A11">
              <w:t xml:space="preserve"> 6 December 2026</w:t>
            </w:r>
          </w:p>
          <w:p w:rsidR="000C3B6C" w:rsidRPr="00E3324D" w:rsidP="000C3B6C" w14:paraId="7439F302"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E2C9B6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0535647" w14:textId="77777777">
            <w:r w:rsidRPr="00CE6C29">
              <w:t>Public Authority for Industry</w:t>
            </w:r>
          </w:p>
          <w:p w:rsidR="00CE6C29" w:rsidRPr="00CE6C29" w:rsidP="000C3B6C" w14:paraId="5821A5C0" w14:textId="77777777">
            <w:r w:rsidRPr="00CE6C29">
              <w:t>P.O.Box 4690, Safat</w:t>
            </w:r>
          </w:p>
          <w:p w:rsidR="00CE6C29" w:rsidRPr="003C2C26" w:rsidP="000C3B6C" w14:paraId="1DE0AD4A" w14:textId="77777777">
            <w:pPr>
              <w:rPr>
                <w:lang w:val="fr-CH"/>
              </w:rPr>
            </w:pPr>
            <w:r w:rsidRPr="003C2C26">
              <w:rPr>
                <w:lang w:val="fr-CH"/>
              </w:rPr>
              <w:t>13047 Kuwait</w:t>
            </w:r>
          </w:p>
          <w:p w:rsidR="00CE6C29" w:rsidRPr="003C2C26" w:rsidP="000C3B6C" w14:paraId="4F64B0FF" w14:textId="77777777">
            <w:pPr>
              <w:rPr>
                <w:lang w:val="fr-CH"/>
              </w:rPr>
            </w:pPr>
            <w:r w:rsidRPr="003C2C26">
              <w:rPr>
                <w:lang w:val="fr-CH"/>
              </w:rPr>
              <w:t>Tel: (+965) 25302622</w:t>
            </w:r>
          </w:p>
          <w:p w:rsidR="00CE6C29" w:rsidRPr="003C2C26" w:rsidP="000C3B6C" w14:paraId="64E6FA8E" w14:textId="77777777">
            <w:pPr>
              <w:rPr>
                <w:lang w:val="fr-CH"/>
              </w:rPr>
            </w:pPr>
            <w:r w:rsidRPr="003C2C26">
              <w:rPr>
                <w:lang w:val="fr-CH"/>
              </w:rPr>
              <w:t xml:space="preserve">E-mail: </w:t>
            </w:r>
            <w:hyperlink r:id="rId7" w:history="1">
              <w:r w:rsidRPr="003C2C26">
                <w:rPr>
                  <w:color w:val="0000FF"/>
                  <w:u w:val="single"/>
                  <w:lang w:val="fr-CH"/>
                </w:rPr>
                <w:t>Enquiry_point@pai.gov.kw</w:t>
              </w:r>
            </w:hyperlink>
          </w:p>
          <w:p w:rsidR="00CE6C29" w:rsidRPr="00CE6C29" w:rsidP="000C3B6C" w14:paraId="0C270436" w14:textId="77777777">
            <w:pPr>
              <w:spacing w:after="120"/>
            </w:pPr>
            <w:r w:rsidRPr="00CE6C29">
              <w:t xml:space="preserve">Website: </w:t>
            </w:r>
            <w:hyperlink r:id="rId8" w:tgtFrame="_blank" w:history="1">
              <w:r w:rsidRPr="00CE6C29">
                <w:rPr>
                  <w:color w:val="0000FF"/>
                  <w:u w:val="single"/>
                </w:rPr>
                <w:t>http://www.pai.gov.kw</w:t>
              </w:r>
            </w:hyperlink>
          </w:p>
        </w:tc>
      </w:tr>
    </w:tbl>
    <w:p w:rsidR="00EE3A11" w:rsidRPr="002F6A28" w:rsidP="00887259" w14:paraId="5F10CDF6"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0F7E1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B7666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5B1814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17DF5C" w14:textId="77777777">
    <w:pPr>
      <w:pStyle w:val="Header"/>
      <w:pBdr>
        <w:bottom w:val="single" w:sz="4" w:space="1" w:color="auto"/>
      </w:pBdr>
      <w:tabs>
        <w:tab w:val="clear" w:pos="4513"/>
        <w:tab w:val="clear" w:pos="9027"/>
      </w:tabs>
      <w:jc w:val="center"/>
    </w:pPr>
    <w:r w:rsidRPr="002F6A28">
      <w:t>tbtSymbol</w:t>
    </w:r>
  </w:p>
  <w:p w:rsidR="009239F7" w:rsidRPr="002F6A28" w:rsidP="009239F7" w14:paraId="29E08EBC" w14:textId="77777777">
    <w:pPr>
      <w:pStyle w:val="Header"/>
      <w:pBdr>
        <w:bottom w:val="single" w:sz="4" w:space="1" w:color="auto"/>
      </w:pBdr>
      <w:tabs>
        <w:tab w:val="clear" w:pos="4513"/>
        <w:tab w:val="clear" w:pos="9027"/>
      </w:tabs>
      <w:jc w:val="center"/>
    </w:pPr>
  </w:p>
  <w:p w:rsidR="009239F7" w:rsidRPr="002F6A28" w:rsidP="009239F7" w14:paraId="26D0929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A95ACD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38D688" w14:textId="77777777">
    <w:pPr>
      <w:pStyle w:val="Header"/>
      <w:pBdr>
        <w:bottom w:val="single" w:sz="4" w:space="1" w:color="auto"/>
      </w:pBdr>
      <w:tabs>
        <w:tab w:val="clear" w:pos="4513"/>
        <w:tab w:val="clear" w:pos="9027"/>
      </w:tabs>
      <w:jc w:val="center"/>
    </w:pPr>
    <w:bookmarkStart w:id="0" w:name="spsSymbolHeader"/>
    <w:r w:rsidRPr="002F6A28">
      <w:t>G/TBT/N/KWT/780</w:t>
    </w:r>
    <w:bookmarkEnd w:id="0"/>
  </w:p>
  <w:p w:rsidR="009239F7" w:rsidRPr="002F6A28" w:rsidP="009239F7" w14:paraId="538B0469" w14:textId="77777777">
    <w:pPr>
      <w:pStyle w:val="Header"/>
      <w:pBdr>
        <w:bottom w:val="single" w:sz="4" w:space="1" w:color="auto"/>
      </w:pBdr>
      <w:tabs>
        <w:tab w:val="clear" w:pos="4513"/>
        <w:tab w:val="clear" w:pos="9027"/>
      </w:tabs>
      <w:jc w:val="center"/>
    </w:pPr>
  </w:p>
  <w:p w:rsidR="009239F7" w:rsidRPr="002F6A28" w:rsidP="009239F7" w14:paraId="1735044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7F2640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85209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0B76CE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7DA7347" w14:textId="77777777">
          <w:pPr>
            <w:jc w:val="right"/>
            <w:rPr>
              <w:b/>
              <w:color w:val="FF0000"/>
              <w:szCs w:val="16"/>
            </w:rPr>
          </w:pPr>
        </w:p>
      </w:tc>
    </w:tr>
    <w:bookmarkEnd w:id="1"/>
    <w:tr w14:paraId="5789713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8402AB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0B414A9" w14:textId="77777777">
          <w:pPr>
            <w:jc w:val="right"/>
            <w:rPr>
              <w:b/>
              <w:szCs w:val="16"/>
            </w:rPr>
          </w:pPr>
        </w:p>
      </w:tc>
    </w:tr>
    <w:tr w14:paraId="10C751C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EC9DC7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11BC0FC" w14:textId="77777777">
          <w:pPr>
            <w:jc w:val="right"/>
            <w:rPr>
              <w:b/>
              <w:szCs w:val="16"/>
            </w:rPr>
          </w:pPr>
          <w:bookmarkStart w:id="2" w:name="bmkSymbols"/>
          <w:r w:rsidRPr="002F6A28">
            <w:rPr>
              <w:b/>
              <w:szCs w:val="16"/>
            </w:rPr>
            <w:t>G/TBT/N/KWT/780</w:t>
          </w:r>
          <w:bookmarkEnd w:id="2"/>
        </w:p>
      </w:tc>
    </w:tr>
    <w:tr w14:paraId="086BD71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998E4AF" w14:textId="77777777"/>
      </w:tc>
      <w:tc>
        <w:tcPr>
          <w:tcW w:w="5448" w:type="dxa"/>
          <w:gridSpan w:val="2"/>
          <w:shd w:val="clear" w:color="auto" w:fill="FFFFFF"/>
          <w:tcMar>
            <w:left w:w="108" w:type="dxa"/>
            <w:right w:w="108" w:type="dxa"/>
          </w:tcMar>
          <w:vAlign w:val="center"/>
        </w:tcPr>
        <w:p w:rsidR="00ED54E0" w:rsidRPr="009239F7" w:rsidP="00B801E9" w14:paraId="0989D98E" w14:textId="77777777">
          <w:pPr>
            <w:jc w:val="right"/>
            <w:rPr>
              <w:szCs w:val="16"/>
            </w:rPr>
          </w:pPr>
          <w:bookmarkStart w:id="3" w:name="spsDateDistribution"/>
          <w:bookmarkStart w:id="4" w:name="bmkDate"/>
          <w:r w:rsidRPr="009239F7">
            <w:rPr>
              <w:szCs w:val="16"/>
            </w:rPr>
            <w:t>7 October 2026</w:t>
          </w:r>
          <w:bookmarkEnd w:id="3"/>
          <w:bookmarkEnd w:id="4"/>
        </w:p>
      </w:tc>
    </w:tr>
    <w:tr w14:paraId="2E0A3EF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C27FB54" w14:textId="77777777">
          <w:pPr>
            <w:jc w:val="left"/>
            <w:rPr>
              <w:b/>
            </w:rPr>
          </w:pPr>
          <w:bookmarkStart w:id="5" w:name="bmkSerial"/>
          <w:r>
            <w:rPr>
              <w:rFonts w:ascii="Verdana" w:eastAsia="Verdana" w:hAnsi="Verdana" w:cs="Verdana"/>
              <w:b w:val="0"/>
              <w:color w:val="FF0000"/>
              <w:sz w:val="18"/>
            </w:rPr>
            <w:t>(26-6924)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4E19B2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155E85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A1EB07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663E50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7BEAD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0950222">
    <w:abstractNumId w:val="9"/>
  </w:num>
  <w:num w:numId="2" w16cid:durableId="1184396171">
    <w:abstractNumId w:val="7"/>
  </w:num>
  <w:num w:numId="3" w16cid:durableId="1183862107">
    <w:abstractNumId w:val="6"/>
  </w:num>
  <w:num w:numId="4" w16cid:durableId="461728931">
    <w:abstractNumId w:val="5"/>
  </w:num>
  <w:num w:numId="5" w16cid:durableId="1930698772">
    <w:abstractNumId w:val="4"/>
  </w:num>
  <w:num w:numId="6" w16cid:durableId="1983151101">
    <w:abstractNumId w:val="12"/>
  </w:num>
  <w:num w:numId="7" w16cid:durableId="916086976">
    <w:abstractNumId w:val="11"/>
  </w:num>
  <w:num w:numId="8" w16cid:durableId="1835561037">
    <w:abstractNumId w:val="10"/>
  </w:num>
  <w:num w:numId="9" w16cid:durableId="844124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1571444">
    <w:abstractNumId w:val="13"/>
  </w:num>
  <w:num w:numId="11" w16cid:durableId="2012248681">
    <w:abstractNumId w:val="8"/>
  </w:num>
  <w:num w:numId="12" w16cid:durableId="708921990">
    <w:abstractNumId w:val="3"/>
  </w:num>
  <w:num w:numId="13" w16cid:durableId="1265727873">
    <w:abstractNumId w:val="2"/>
  </w:num>
  <w:num w:numId="14" w16cid:durableId="182786167">
    <w:abstractNumId w:val="1"/>
  </w:num>
  <w:num w:numId="15" w16cid:durableId="186142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C2C26"/>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0BAA"/>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17DC"/>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A24CF"/>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2AC53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WT/26_05239_00_e.pdf" TargetMode="External" /><Relationship Id="rId7" Type="http://schemas.openxmlformats.org/officeDocument/2006/relationships/hyperlink" Target="mailto:Enquiry_point@pai.gov.kw" TargetMode="External" /><Relationship Id="rId8" Type="http://schemas.openxmlformats.org/officeDocument/2006/relationships/hyperlink" Target="http://www.pai.gov.kw"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EF31843-2858-4F26-A543-6818E3EF92F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2026-10-07T07:43:00Z</dcterms:created>
  <dcterms:modified xsi:type="dcterms:W3CDTF">2026-10-07T07:43:00Z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