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5D47986" w14:textId="77777777">
      <w:pPr>
        <w:pStyle w:val="Title"/>
      </w:pPr>
      <w:r w:rsidRPr="002F663C">
        <w:t>NOTIFICATION</w:t>
      </w:r>
    </w:p>
    <w:p w:rsidR="002F663C" w:rsidRPr="002F663C" w:rsidP="00DD3DD7" w14:paraId="1346D848" w14:textId="77777777">
      <w:pPr>
        <w:pStyle w:val="Title3"/>
      </w:pPr>
      <w:r w:rsidRPr="002F663C">
        <w:t>Addendum</w:t>
      </w:r>
    </w:p>
    <w:p w:rsidR="002F663C" w:rsidP="001E2E4A" w14:paraId="1FE40A64"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2026,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Kingdom</w:t>
      </w:r>
      <w:r w:rsidRPr="002F663C">
        <w:rPr>
          <w:rFonts w:eastAsia="Calibri" w:cs="Times New Roman"/>
        </w:rPr>
        <w:t>.</w:t>
      </w:r>
    </w:p>
    <w:p w:rsidR="001E2E4A" w:rsidRPr="002F663C" w:rsidP="001E2E4A" w14:paraId="0A6F55B4" w14:textId="77777777">
      <w:pPr>
        <w:rPr>
          <w:rFonts w:eastAsia="Calibri" w:cs="Times New Roman"/>
        </w:rPr>
      </w:pPr>
    </w:p>
    <w:p w:rsidR="002F663C" w:rsidRPr="002F663C" w:rsidP="002F663C" w14:paraId="6C3796C8" w14:textId="77777777">
      <w:pPr>
        <w:jc w:val="center"/>
        <w:rPr>
          <w:rFonts w:eastAsia="Calibri" w:cs="Times New Roman"/>
          <w:b/>
        </w:rPr>
      </w:pPr>
      <w:r w:rsidRPr="002F663C">
        <w:rPr>
          <w:rFonts w:eastAsia="Calibri" w:cs="Times New Roman"/>
          <w:b/>
        </w:rPr>
        <w:t>_______________</w:t>
      </w:r>
    </w:p>
    <w:p w:rsidR="002F663C" w:rsidP="002F663C" w14:paraId="2BA05FEF" w14:textId="77777777">
      <w:pPr>
        <w:rPr>
          <w:rFonts w:eastAsia="Calibri" w:cs="Times New Roman"/>
        </w:rPr>
      </w:pPr>
    </w:p>
    <w:p w:rsidR="00C14444" w:rsidRPr="002F663C" w:rsidP="002F663C" w14:paraId="428D0F3E" w14:textId="77777777">
      <w:pPr>
        <w:rPr>
          <w:rFonts w:eastAsia="Calibri" w:cs="Times New Roman"/>
        </w:rPr>
      </w:pPr>
    </w:p>
    <w:p w:rsidR="00CC0D7E" w:rsidRPr="00022513" w:rsidP="004C2969" w14:paraId="388E98F0" w14:textId="77777777">
      <w:pPr>
        <w:spacing w:after="120"/>
        <w:rPr>
          <w:rFonts w:eastAsia="Calibri" w:cs="Times New Roman"/>
          <w:bCs/>
          <w:szCs w:val="18"/>
        </w:rPr>
      </w:pPr>
      <w:r w:rsidRPr="002F663C">
        <w:rPr>
          <w:rFonts w:eastAsia="Calibri" w:cs="Times New Roman"/>
          <w:b/>
          <w:szCs w:val="18"/>
        </w:rPr>
        <w:t>Title:</w:t>
      </w:r>
      <w:r w:rsidRPr="00022513">
        <w:rPr>
          <w:rFonts w:eastAsia="Calibri" w:cs="Times New Roman"/>
          <w:bCs/>
          <w:szCs w:val="18"/>
        </w:rPr>
        <w:t xml:space="preserve"> Gaming Machine Testing Strategy (8 page(s), in English), Amendments to the Gaming Machine Technical Standards</w:t>
      </w:r>
    </w:p>
    <w:p w:rsidR="002F663C" w:rsidRPr="002F663C" w:rsidP="002F663C" w14:paraId="518DF9BE"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A206CAD"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EB2BD99"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4C02392" w14:textId="77777777" w:rsidTr="00E9471B">
        <w:tblPrEx>
          <w:tblW w:w="9049" w:type="dxa"/>
          <w:tblLayout w:type="fixed"/>
          <w:tblLook w:val="04A0"/>
        </w:tblPrEx>
        <w:tc>
          <w:tcPr>
            <w:tcW w:w="851" w:type="dxa"/>
          </w:tcPr>
          <w:p w:rsidR="002F663C" w:rsidRPr="00711F9C" w:rsidP="00C14444" w14:paraId="08F5F76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5F1FDF23"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2643B12" w14:textId="77777777" w:rsidTr="00E9471B">
        <w:tblPrEx>
          <w:tblW w:w="9049" w:type="dxa"/>
          <w:tblLayout w:type="fixed"/>
          <w:tblLook w:val="04A0"/>
        </w:tblPrEx>
        <w:tc>
          <w:tcPr>
            <w:tcW w:w="851" w:type="dxa"/>
          </w:tcPr>
          <w:p w:rsidR="002F663C" w:rsidRPr="00711F9C" w:rsidP="00C14444" w14:paraId="3A217A6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16247A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036B69B8" w14:textId="77777777" w:rsidTr="00E9471B">
        <w:tblPrEx>
          <w:tblW w:w="9049" w:type="dxa"/>
          <w:tblLayout w:type="fixed"/>
          <w:tblLook w:val="04A0"/>
        </w:tblPrEx>
        <w:tc>
          <w:tcPr>
            <w:tcW w:w="851" w:type="dxa"/>
          </w:tcPr>
          <w:p w:rsidR="002F663C" w:rsidRPr="00711F9C" w:rsidP="00C14444" w14:paraId="7A3AF41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2B3B674"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30 September 2026</w:t>
            </w:r>
          </w:p>
        </w:tc>
      </w:tr>
      <w:tr w14:paraId="680CE015" w14:textId="77777777" w:rsidTr="00E9471B">
        <w:tblPrEx>
          <w:tblW w:w="9049" w:type="dxa"/>
          <w:tblLayout w:type="fixed"/>
          <w:tblLook w:val="04A0"/>
        </w:tblPrEx>
        <w:tc>
          <w:tcPr>
            <w:tcW w:w="851" w:type="dxa"/>
          </w:tcPr>
          <w:p w:rsidR="002F663C" w:rsidRPr="00711F9C" w:rsidP="00C14444" w14:paraId="4AC368B2"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5945EF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r w:rsidRPr="002F663C">
              <w:rPr>
                <w:rFonts w:eastAsia="Calibri" w:cs="Times New Roman"/>
              </w:rPr>
              <w:t>30 March 2027, 30 June 2027 and 3 October 2028</w:t>
            </w:r>
          </w:p>
        </w:tc>
      </w:tr>
      <w:tr w14:paraId="51F1A4F9" w14:textId="77777777" w:rsidTr="00E9471B">
        <w:tblPrEx>
          <w:tblW w:w="9049" w:type="dxa"/>
          <w:tblLayout w:type="fixed"/>
          <w:tblLook w:val="04A0"/>
        </w:tblPrEx>
        <w:tc>
          <w:tcPr>
            <w:tcW w:w="851" w:type="dxa"/>
          </w:tcPr>
          <w:p w:rsidR="002F663C" w:rsidRPr="00711F9C" w:rsidP="00C14444" w14:paraId="50FD6D1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254F78BB"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74D76231" w14:textId="77777777">
            <w:pPr>
              <w:spacing w:before="120" w:after="120"/>
              <w:rPr>
                <w:rFonts w:eastAsia="Calibri" w:cs="Times New Roman"/>
              </w:rPr>
            </w:pPr>
            <w:r w:rsidRPr="002F663C">
              <w:rPr>
                <w:rFonts w:eastAsia="Calibri" w:cs="Times New Roman"/>
              </w:rPr>
              <w:t>Please see Annex 2, of the response publication, for copies of the Consolidated GMTS (PDF), Updated testing strategy (PDF) and the Interim GMTS covering a session definition (PDF).</w:t>
            </w:r>
          </w:p>
          <w:p w:rsidR="002F663C" w:rsidRPr="002F663C" w:rsidP="00EB7B40" w14:paraId="05DEDDDA" w14:textId="77777777">
            <w:pPr>
              <w:spacing w:before="120" w:after="120"/>
              <w:rPr>
                <w:rFonts w:eastAsia="Calibri" w:cs="Times New Roman"/>
              </w:rPr>
            </w:pPr>
            <w:hyperlink r:id="rId7" w:tgtFrame="_blank" w:history="1">
              <w:r w:rsidRPr="002F663C">
                <w:rPr>
                  <w:rFonts w:eastAsia="Calibri" w:cs="Times New Roman"/>
                  <w:color w:val="0000FF"/>
                  <w:u w:val="single"/>
                </w:rPr>
                <w:t>https://www.gamblingcommission.gov.uk/consultation-response/january-2025-consultation-on-proposed-changes-to-the-gmts-testing-strategy-and-lccp-consultation-response/related-documents-january-2025-gaming-machine-consultation-part-2-response</w:t>
              </w:r>
            </w:hyperlink>
          </w:p>
        </w:tc>
      </w:tr>
      <w:tr w14:paraId="3DF61CD6" w14:textId="77777777" w:rsidTr="00E9471B">
        <w:tblPrEx>
          <w:tblW w:w="9049" w:type="dxa"/>
          <w:tblLayout w:type="fixed"/>
          <w:tblLook w:val="04A0"/>
        </w:tblPrEx>
        <w:tc>
          <w:tcPr>
            <w:tcW w:w="851" w:type="dxa"/>
          </w:tcPr>
          <w:p w:rsidR="002F663C" w:rsidRPr="00711F9C" w:rsidP="00C14444" w14:paraId="3E52C7D0" w14:textId="77777777">
            <w:pPr>
              <w:spacing w:before="60" w:after="60"/>
              <w:rPr>
                <w:rFonts w:eastAsia="Calibri" w:cs="Times New Roman"/>
                <w:szCs w:val="18"/>
              </w:rPr>
            </w:pPr>
            <w:r w:rsidRPr="00711F9C">
              <w:rPr>
                <w:rFonts w:eastAsia="Calibri" w:cs="Times New Roman"/>
                <w:szCs w:val="18"/>
              </w:rPr>
              <w:t xml:space="preserve">[ </w:t>
            </w:r>
            <w:r w:rsidRPr="00711F9C">
              <w:rPr>
                <w:rFonts w:eastAsia="Calibri" w:cs="Times New Roman"/>
                <w:szCs w:val="18"/>
              </w:rPr>
              <w:t>]</w:t>
            </w:r>
          </w:p>
        </w:tc>
        <w:tc>
          <w:tcPr>
            <w:tcW w:w="8198" w:type="dxa"/>
          </w:tcPr>
          <w:p w:rsidR="002F663C" w:rsidRPr="002F663C" w:rsidP="00EB7B40" w14:paraId="08C84AD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6EC9AAA"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E3A06E1" w14:textId="77777777" w:rsidTr="00E9471B">
        <w:tblPrEx>
          <w:tblW w:w="9049" w:type="dxa"/>
          <w:tblLayout w:type="fixed"/>
          <w:tblLook w:val="04A0"/>
        </w:tblPrEx>
        <w:tc>
          <w:tcPr>
            <w:tcW w:w="851" w:type="dxa"/>
          </w:tcPr>
          <w:p w:rsidR="002F663C" w:rsidRPr="00711F9C" w:rsidP="00C14444" w14:paraId="25BD169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219227B"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794CB148"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29150DAE" w14:textId="77777777" w:rsidTr="00E9471B">
        <w:tblPrEx>
          <w:tblW w:w="9049" w:type="dxa"/>
          <w:tblLayout w:type="fixed"/>
          <w:tblLook w:val="04A0"/>
        </w:tblPrEx>
        <w:tc>
          <w:tcPr>
            <w:tcW w:w="851" w:type="dxa"/>
          </w:tcPr>
          <w:p w:rsidR="002F663C" w:rsidRPr="00711F9C" w:rsidP="00C14444" w14:paraId="6326929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59D3B008"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7D73128" w14:textId="77777777" w:rsidTr="00E9471B">
        <w:tblPrEx>
          <w:tblW w:w="9049" w:type="dxa"/>
          <w:tblLayout w:type="fixed"/>
          <w:tblLook w:val="04A0"/>
        </w:tblPrEx>
        <w:tc>
          <w:tcPr>
            <w:tcW w:w="851" w:type="dxa"/>
            <w:tcBorders>
              <w:bottom w:val="double" w:sz="4" w:space="0" w:color="auto"/>
            </w:tcBorders>
          </w:tcPr>
          <w:p w:rsidR="002F663C" w:rsidRPr="00711F9C" w:rsidP="00C14444" w14:paraId="27BA9FD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3D927D21"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5585A106" w14:textId="77777777">
      <w:pPr>
        <w:jc w:val="left"/>
        <w:rPr>
          <w:rFonts w:eastAsia="Calibri" w:cs="Times New Roman"/>
          <w:highlight w:val="yellow"/>
        </w:rPr>
      </w:pPr>
    </w:p>
    <w:p w:rsidR="003971FF" w:rsidRPr="007F6EA2" w:rsidP="00B16ACF" w14:paraId="027F46B0"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Following the consultation on proposed changes to the Gaming Machine Technical Standards (GMTS) and Gaming Machine Testing Strategy, the Gambling Commission has published its response on 30 September 2026. There is a staged implementation timeline of 30 March 2027, 30 June 2027 and 3 October 2028. Following consultation feedback and evidence supplied the changes to be implemented include;</w:t>
      </w:r>
    </w:p>
    <w:p w:rsidR="00CC0D7E" w:rsidRPr="002F663C" w:rsidP="00B16ACF" w14:paraId="67C789CE" w14:textId="77777777">
      <w:pPr>
        <w:spacing w:before="120" w:after="120"/>
        <w:rPr>
          <w:rFonts w:eastAsia="Calibri" w:cs="Times New Roman"/>
          <w:szCs w:val="18"/>
        </w:rPr>
      </w:pPr>
      <w:r w:rsidRPr="002F663C">
        <w:rPr>
          <w:rFonts w:eastAsia="Calibri" w:cs="Times New Roman"/>
          <w:szCs w:val="18"/>
        </w:rPr>
        <w:t>· Definition of a session</w:t>
      </w:r>
    </w:p>
    <w:p w:rsidR="00CC0D7E" w:rsidRPr="002F663C" w:rsidP="00B16ACF" w14:paraId="6CFE82B2" w14:textId="77777777">
      <w:pPr>
        <w:spacing w:before="120" w:after="120"/>
        <w:rPr>
          <w:rFonts w:eastAsia="Calibri" w:cs="Times New Roman"/>
          <w:szCs w:val="18"/>
        </w:rPr>
      </w:pPr>
      <w:r w:rsidRPr="002F663C">
        <w:rPr>
          <w:rFonts w:eastAsia="Calibri" w:cs="Times New Roman"/>
          <w:szCs w:val="18"/>
        </w:rPr>
        <w:t>· The classification of gaming machines and/or games as 'new' or 'existing'</w:t>
      </w:r>
    </w:p>
    <w:p w:rsidR="00CC0D7E" w:rsidRPr="002F663C" w:rsidP="00B16ACF" w14:paraId="7AE8D5DB" w14:textId="77777777">
      <w:pPr>
        <w:spacing w:before="120" w:after="120"/>
        <w:rPr>
          <w:rFonts w:eastAsia="Calibri" w:cs="Times New Roman"/>
          <w:szCs w:val="18"/>
        </w:rPr>
      </w:pPr>
      <w:r w:rsidRPr="002F663C">
        <w:rPr>
          <w:rFonts w:eastAsia="Calibri" w:cs="Times New Roman"/>
          <w:szCs w:val="18"/>
        </w:rPr>
        <w:t>· Limit setting</w:t>
      </w:r>
    </w:p>
    <w:p w:rsidR="00CC0D7E" w:rsidRPr="002F663C" w:rsidP="00B16ACF" w14:paraId="516121AD" w14:textId="77777777">
      <w:pPr>
        <w:spacing w:before="120" w:after="120"/>
        <w:rPr>
          <w:rFonts w:eastAsia="Calibri" w:cs="Times New Roman"/>
          <w:szCs w:val="18"/>
        </w:rPr>
      </w:pPr>
      <w:r w:rsidRPr="002F663C">
        <w:rPr>
          <w:rFonts w:eastAsia="Calibri" w:cs="Times New Roman"/>
          <w:szCs w:val="18"/>
        </w:rPr>
        <w:t>· Breaks in play</w:t>
      </w:r>
    </w:p>
    <w:p w:rsidR="00CC0D7E" w:rsidRPr="002F663C" w:rsidP="00B16ACF" w14:paraId="1655D213" w14:textId="77777777">
      <w:pPr>
        <w:spacing w:before="120" w:after="120"/>
        <w:rPr>
          <w:rFonts w:eastAsia="Calibri" w:cs="Times New Roman"/>
          <w:szCs w:val="18"/>
        </w:rPr>
      </w:pPr>
      <w:r w:rsidRPr="002F663C">
        <w:rPr>
          <w:rFonts w:eastAsia="Calibri" w:cs="Times New Roman"/>
          <w:szCs w:val="18"/>
        </w:rPr>
        <w:t>· Staff alerts</w:t>
      </w:r>
    </w:p>
    <w:p w:rsidR="006C5A96" w:rsidP="006C5A96" w14:paraId="7568EFC7" w14:textId="77777777">
      <w:pPr>
        <w:jc w:val="center"/>
        <w:rPr>
          <w:b/>
        </w:rPr>
      </w:pPr>
      <w:r w:rsidRPr="003971FF">
        <w:rPr>
          <w:b/>
        </w:rPr>
        <w:t>__________</w:t>
      </w:r>
    </w:p>
    <w:p w:rsidR="004D4D19" w:rsidP="007F38C2" w14:paraId="55C38D11" w14:textId="77777777">
      <w:pPr>
        <w:jc w:val="center"/>
        <w:rPr>
          <w:b/>
        </w:rPr>
      </w:pPr>
    </w:p>
    <w:p w:rsidR="00A1565D" w:rsidP="003971FF" w14:paraId="4A07B50B"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25A82E7"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C9B5980"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A75B0" w:rsidP="00ED54E0" w14:paraId="3A0AF1A9" w14:textId="77777777">
      <w:r>
        <w:separator/>
      </w:r>
    </w:p>
  </w:footnote>
  <w:footnote w:type="continuationSeparator" w:id="1">
    <w:p w:rsidR="00FA75B0" w:rsidP="00ED54E0" w14:paraId="16157944" w14:textId="77777777">
      <w:r>
        <w:continuationSeparator/>
      </w:r>
    </w:p>
  </w:footnote>
  <w:footnote w:id="2">
    <w:p w:rsidR="007F6EA2" w14:paraId="5A960380"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FD1F69E"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24EECFA9" w14:textId="77777777">
    <w:pPr>
      <w:pStyle w:val="Header"/>
      <w:pBdr>
        <w:bottom w:val="single" w:sz="4" w:space="1" w:color="auto"/>
      </w:pBdr>
      <w:tabs>
        <w:tab w:val="clear" w:pos="4513"/>
        <w:tab w:val="clear" w:pos="9027"/>
      </w:tabs>
      <w:jc w:val="center"/>
    </w:pPr>
  </w:p>
  <w:p w:rsidR="00DD3DD7" w:rsidRPr="00DD3DD7" w:rsidP="00DD3DD7" w14:paraId="78A14C1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5EF0724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6EC99619" w14:textId="77777777">
    <w:pPr>
      <w:pStyle w:val="Header"/>
      <w:pBdr>
        <w:bottom w:val="single" w:sz="4" w:space="1" w:color="auto"/>
      </w:pBdr>
      <w:tabs>
        <w:tab w:val="clear" w:pos="4513"/>
        <w:tab w:val="clear" w:pos="9027"/>
      </w:tabs>
      <w:jc w:val="center"/>
    </w:pPr>
    <w:bookmarkStart w:id="3" w:name="spsSymbolHeader"/>
    <w:r w:rsidRPr="00DD3DD7">
      <w:t>G/TBT/N/</w:t>
    </w:r>
    <w:r w:rsidRPr="00DD3DD7">
      <w:t>GBR</w:t>
    </w:r>
    <w:r w:rsidRPr="00DD3DD7">
      <w:t>/99/Add.1</w:t>
    </w:r>
    <w:bookmarkEnd w:id="3"/>
  </w:p>
  <w:p w:rsidR="00DD3DD7" w:rsidRPr="00DD3DD7" w:rsidP="00DD3DD7" w14:paraId="46901F50" w14:textId="77777777">
    <w:pPr>
      <w:pStyle w:val="Header"/>
      <w:pBdr>
        <w:bottom w:val="single" w:sz="4" w:space="1" w:color="auto"/>
      </w:pBdr>
      <w:tabs>
        <w:tab w:val="clear" w:pos="4513"/>
        <w:tab w:val="clear" w:pos="9027"/>
      </w:tabs>
      <w:jc w:val="center"/>
    </w:pPr>
  </w:p>
  <w:p w:rsidR="00DD3DD7" w:rsidRPr="00DD3DD7" w:rsidP="00DD3DD7" w14:paraId="220E1F0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12C7FBC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DF172CC"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1C08520"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1C000F5" w14:textId="77777777">
          <w:pPr>
            <w:jc w:val="right"/>
            <w:rPr>
              <w:b/>
              <w:color w:val="FF0000"/>
              <w:szCs w:val="16"/>
            </w:rPr>
          </w:pPr>
          <w:r>
            <w:rPr>
              <w:b/>
              <w:color w:val="FF0000"/>
              <w:szCs w:val="16"/>
            </w:rPr>
            <w:t xml:space="preserve"> </w:t>
          </w:r>
        </w:p>
      </w:tc>
    </w:tr>
    <w:tr w14:paraId="4C8C2E82"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2CDD401"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D4AE050" w14:textId="77777777">
          <w:pPr>
            <w:jc w:val="right"/>
            <w:rPr>
              <w:b/>
              <w:szCs w:val="16"/>
            </w:rPr>
          </w:pPr>
        </w:p>
      </w:tc>
    </w:tr>
    <w:tr w14:paraId="1AE5D8F6"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38E11C13"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EFEDF7E" w14:textId="77777777">
          <w:pPr>
            <w:jc w:val="right"/>
            <w:rPr>
              <w:rFonts w:eastAsia="Calibri" w:cs="Times New Roman"/>
              <w:b/>
              <w:szCs w:val="16"/>
            </w:rPr>
          </w:pPr>
          <w:bookmarkStart w:id="4" w:name="bmkSymbols"/>
          <w:r w:rsidRPr="002F663C">
            <w:rPr>
              <w:rFonts w:eastAsia="Calibri" w:cs="Times New Roman"/>
              <w:b/>
              <w:szCs w:val="16"/>
            </w:rPr>
            <w:t>G/TBT/N/</w:t>
          </w:r>
          <w:r w:rsidRPr="002F663C">
            <w:rPr>
              <w:rFonts w:eastAsia="Calibri" w:cs="Times New Roman"/>
              <w:b/>
              <w:szCs w:val="16"/>
            </w:rPr>
            <w:t>GBR</w:t>
          </w:r>
          <w:r w:rsidRPr="002F663C">
            <w:rPr>
              <w:rFonts w:eastAsia="Calibri" w:cs="Times New Roman"/>
              <w:b/>
              <w:szCs w:val="16"/>
            </w:rPr>
            <w:t>/99/Add.1</w:t>
          </w:r>
          <w:bookmarkEnd w:id="4"/>
        </w:p>
        <w:p w:rsidR="00C14444" w:rsidRPr="00C14444" w:rsidP="00C14444" w14:paraId="02D0AF68" w14:textId="77777777">
          <w:pPr>
            <w:jc w:val="center"/>
            <w:rPr>
              <w:szCs w:val="16"/>
            </w:rPr>
          </w:pPr>
        </w:p>
      </w:tc>
    </w:tr>
    <w:tr w14:paraId="0578C845"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EC12756" w14:textId="77777777"/>
      </w:tc>
      <w:tc>
        <w:tcPr>
          <w:tcW w:w="5448" w:type="dxa"/>
          <w:gridSpan w:val="2"/>
          <w:shd w:val="clear" w:color="auto" w:fill="FFFFFF"/>
          <w:tcMar>
            <w:left w:w="108" w:type="dxa"/>
            <w:right w:w="108" w:type="dxa"/>
          </w:tcMar>
          <w:vAlign w:val="center"/>
        </w:tcPr>
        <w:p w:rsidR="00ED54E0" w:rsidRPr="00182B84" w:rsidP="00425DC5" w14:paraId="530F1A82" w14:textId="77777777">
          <w:pPr>
            <w:jc w:val="right"/>
            <w:rPr>
              <w:szCs w:val="16"/>
            </w:rPr>
          </w:pPr>
          <w:bookmarkStart w:id="5" w:name="bmkDate"/>
          <w:r w:rsidRPr="00182B84">
            <w:rPr>
              <w:szCs w:val="16"/>
            </w:rPr>
            <w:t>30 September 2026</w:t>
          </w:r>
          <w:bookmarkEnd w:id="5"/>
        </w:p>
      </w:tc>
    </w:tr>
    <w:tr w14:paraId="60D66A2D"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5A7A6C8" w14:textId="77777777">
          <w:pPr>
            <w:jc w:val="left"/>
            <w:rPr>
              <w:b/>
            </w:rPr>
          </w:pPr>
          <w:bookmarkStart w:id="6" w:name="bmkSerial"/>
          <w:r>
            <w:rPr>
              <w:rFonts w:ascii="Verdana" w:eastAsia="Verdana" w:hAnsi="Verdana" w:cs="Verdana"/>
              <w:b w:val="0"/>
              <w:color w:val="FF0000"/>
              <w:sz w:val="18"/>
            </w:rPr>
            <w:t>(26-6755)</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BB6047A"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7F7D4B60"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CB4207C"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54EEA3F"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4C18F9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23021149">
    <w:abstractNumId w:val="9"/>
  </w:num>
  <w:num w:numId="2" w16cid:durableId="2033266206">
    <w:abstractNumId w:val="7"/>
  </w:num>
  <w:num w:numId="3" w16cid:durableId="77168333">
    <w:abstractNumId w:val="6"/>
  </w:num>
  <w:num w:numId="4" w16cid:durableId="1387141158">
    <w:abstractNumId w:val="5"/>
  </w:num>
  <w:num w:numId="5" w16cid:durableId="52975523">
    <w:abstractNumId w:val="4"/>
  </w:num>
  <w:num w:numId="6" w16cid:durableId="204606377">
    <w:abstractNumId w:val="12"/>
  </w:num>
  <w:num w:numId="7" w16cid:durableId="255986465">
    <w:abstractNumId w:val="11"/>
  </w:num>
  <w:num w:numId="8" w16cid:durableId="997467015">
    <w:abstractNumId w:val="10"/>
  </w:num>
  <w:num w:numId="9" w16cid:durableId="10591286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36265510">
    <w:abstractNumId w:val="13"/>
  </w:num>
  <w:num w:numId="11" w16cid:durableId="1460684143">
    <w:abstractNumId w:val="8"/>
  </w:num>
  <w:num w:numId="12" w16cid:durableId="110785335">
    <w:abstractNumId w:val="3"/>
  </w:num>
  <w:num w:numId="13" w16cid:durableId="1150053279">
    <w:abstractNumId w:val="2"/>
  </w:num>
  <w:num w:numId="14" w16cid:durableId="98763410">
    <w:abstractNumId w:val="1"/>
  </w:num>
  <w:num w:numId="15" w16cid:durableId="1685546296">
    <w:abstractNumId w:val="0"/>
  </w:num>
  <w:num w:numId="16" w16cid:durableId="506822410">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B5477"/>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2969"/>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7755A"/>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C0D7E"/>
    <w:rsid w:val="00CD7D97"/>
    <w:rsid w:val="00CE3EE6"/>
    <w:rsid w:val="00CE4BA1"/>
    <w:rsid w:val="00D000C7"/>
    <w:rsid w:val="00D221B8"/>
    <w:rsid w:val="00D22E2C"/>
    <w:rsid w:val="00D51C5C"/>
    <w:rsid w:val="00D52A9D"/>
    <w:rsid w:val="00D55AAD"/>
    <w:rsid w:val="00D747AE"/>
    <w:rsid w:val="00D91FD2"/>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49FC"/>
    <w:rsid w:val="00ED54E0"/>
    <w:rsid w:val="00EE587D"/>
    <w:rsid w:val="00EF639C"/>
    <w:rsid w:val="00F03D59"/>
    <w:rsid w:val="00F04A9D"/>
    <w:rsid w:val="00F05F0C"/>
    <w:rsid w:val="00F11B52"/>
    <w:rsid w:val="00F15787"/>
    <w:rsid w:val="00F32397"/>
    <w:rsid w:val="00F357E7"/>
    <w:rsid w:val="00F359DB"/>
    <w:rsid w:val="00F40595"/>
    <w:rsid w:val="00F42F47"/>
    <w:rsid w:val="00F53557"/>
    <w:rsid w:val="00F77BEC"/>
    <w:rsid w:val="00F810EA"/>
    <w:rsid w:val="00FA1663"/>
    <w:rsid w:val="00FA5EBC"/>
    <w:rsid w:val="00FA6F48"/>
    <w:rsid w:val="00FA75B0"/>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685B250"/>
  <w15:docId w15:val="{4FB492AD-06E5-4136-919D-7F81FB948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gamblingcommission.gov.uk/consultation-response/january-2025-consultation-on-proposed-changes-to-the-gmts-testing-strategy-and-lccp-consultation-response/related-documents-january-2025-gaming-machine-consultation-part-2-response"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2193ec8a-f2ec-4686-a4e2-89c8eaf134d0</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44FFB-5080-4F54-9561-F3626EA96908}">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2</Pages>
  <Words>324</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2026-09-30T14:26:00Z</dcterms:created>
  <dcterms:modified xsi:type="dcterms:W3CDTF">2026-09-30T14:57:00Z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2193ec8a-f2ec-4686-a4e2-89c8eaf134d0</vt:lpwstr>
  </property>
  <property fmtid="{D5CDD505-2E9C-101B-9397-08002B2CF9AE}" pid="4" name="WTOCLASSIFICATION">
    <vt:lpwstr>WTO OFFICIAL</vt:lpwstr>
  </property>
</Properties>
</file>