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8EAAAE0" w14:textId="77777777">
      <w:pPr>
        <w:pStyle w:val="Title"/>
      </w:pPr>
      <w:r w:rsidRPr="002F663C">
        <w:t>NOTIFICATION</w:t>
      </w:r>
    </w:p>
    <w:p w:rsidR="002F663C" w:rsidRPr="002F663C" w:rsidP="00DD3DD7" w14:paraId="0DAA354F" w14:textId="77777777">
      <w:pPr>
        <w:pStyle w:val="Title3"/>
      </w:pPr>
      <w:r w:rsidRPr="002F663C">
        <w:t>Addendum</w:t>
      </w:r>
    </w:p>
    <w:p w:rsidR="002F663C" w:rsidP="001E2E4A" w14:paraId="55CBDAAF"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28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08915441" w14:textId="77777777">
      <w:pPr>
        <w:rPr>
          <w:rFonts w:eastAsia="Calibri" w:cs="Times New Roman"/>
        </w:rPr>
      </w:pPr>
    </w:p>
    <w:p w:rsidR="002F663C" w:rsidRPr="002F663C" w:rsidP="002F663C" w14:paraId="4A59EB93" w14:textId="77777777">
      <w:pPr>
        <w:jc w:val="center"/>
        <w:rPr>
          <w:rFonts w:eastAsia="Calibri" w:cs="Times New Roman"/>
          <w:b/>
        </w:rPr>
      </w:pPr>
      <w:r w:rsidRPr="002F663C">
        <w:rPr>
          <w:rFonts w:eastAsia="Calibri" w:cs="Times New Roman"/>
          <w:b/>
        </w:rPr>
        <w:t>_______________</w:t>
      </w:r>
    </w:p>
    <w:p w:rsidR="002F663C" w:rsidP="002F663C" w14:paraId="76AF3573" w14:textId="77777777">
      <w:pPr>
        <w:rPr>
          <w:rFonts w:eastAsia="Calibri" w:cs="Times New Roman"/>
        </w:rPr>
      </w:pPr>
    </w:p>
    <w:p w:rsidR="00C14444" w:rsidRPr="002F663C" w:rsidP="002F663C" w14:paraId="3AA26ED2" w14:textId="77777777">
      <w:pPr>
        <w:rPr>
          <w:rFonts w:eastAsia="Calibri" w:cs="Times New Roman"/>
        </w:rPr>
      </w:pPr>
    </w:p>
    <w:p w:rsidR="002F663C" w:rsidRPr="002F663C" w:rsidP="002F663C" w14:paraId="04823374"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Hazardous Materials: Incorporation of ASME Code Section XII and the National Board Inspection Code</w:t>
      </w:r>
    </w:p>
    <w:p w:rsidR="002F663C" w:rsidRPr="002F663C" w:rsidP="002F663C" w14:paraId="11FC8F5B"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5FEF448"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211461F7"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09ECB8D7" w14:textId="77777777" w:rsidTr="00E9471B">
        <w:tblPrEx>
          <w:tblW w:w="9049" w:type="dxa"/>
          <w:tblLayout w:type="fixed"/>
          <w:tblLook w:val="04A0"/>
        </w:tblPrEx>
        <w:tc>
          <w:tcPr>
            <w:tcW w:w="851" w:type="dxa"/>
          </w:tcPr>
          <w:p w:rsidR="002F663C" w:rsidRPr="00711F9C" w:rsidP="00C14444" w14:paraId="40EE46C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101ED562"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EC1B194" w14:textId="77777777" w:rsidTr="00E9471B">
        <w:tblPrEx>
          <w:tblW w:w="9049" w:type="dxa"/>
          <w:tblLayout w:type="fixed"/>
          <w:tblLook w:val="04A0"/>
        </w:tblPrEx>
        <w:tc>
          <w:tcPr>
            <w:tcW w:w="851" w:type="dxa"/>
          </w:tcPr>
          <w:p w:rsidR="002F663C" w:rsidRPr="00711F9C" w:rsidP="00C14444" w14:paraId="597BD85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F2738F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00AAAD1" w14:textId="77777777" w:rsidTr="00E9471B">
        <w:tblPrEx>
          <w:tblW w:w="9049" w:type="dxa"/>
          <w:tblLayout w:type="fixed"/>
          <w:tblLook w:val="04A0"/>
        </w:tblPrEx>
        <w:tc>
          <w:tcPr>
            <w:tcW w:w="851" w:type="dxa"/>
          </w:tcPr>
          <w:p w:rsidR="002F663C" w:rsidRPr="00711F9C" w:rsidP="00C14444" w14:paraId="07C63DD5"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B3EB74B"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28 September 2026</w:t>
            </w:r>
          </w:p>
        </w:tc>
      </w:tr>
      <w:tr w14:paraId="1904A8F2" w14:textId="77777777" w:rsidTr="00E9471B">
        <w:tblPrEx>
          <w:tblW w:w="9049" w:type="dxa"/>
          <w:tblLayout w:type="fixed"/>
          <w:tblLook w:val="04A0"/>
        </w:tblPrEx>
        <w:tc>
          <w:tcPr>
            <w:tcW w:w="851" w:type="dxa"/>
          </w:tcPr>
          <w:p w:rsidR="002F663C" w:rsidRPr="00711F9C" w:rsidP="00C14444" w14:paraId="0447BCFE"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F29FE1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r w:rsidRPr="002F663C">
              <w:rPr>
                <w:rFonts w:eastAsia="Calibri" w:cs="Times New Roman"/>
              </w:rPr>
              <w:t>28 October 2026</w:t>
            </w:r>
          </w:p>
        </w:tc>
      </w:tr>
      <w:tr w14:paraId="4117DBD6" w14:textId="77777777" w:rsidTr="00E9471B">
        <w:tblPrEx>
          <w:tblW w:w="9049" w:type="dxa"/>
          <w:tblLayout w:type="fixed"/>
          <w:tblLook w:val="04A0"/>
        </w:tblPrEx>
        <w:tc>
          <w:tcPr>
            <w:tcW w:w="851" w:type="dxa"/>
          </w:tcPr>
          <w:p w:rsidR="002F663C" w:rsidRPr="00711F9C" w:rsidP="00C14444" w14:paraId="62D20C6D"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2F339A80"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69BADF5D"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https://members.wto.org/crnattachments/2026/TBT/USA/final_measure/26_05056_00_e.pdf</w:t>
              </w:r>
            </w:hyperlink>
          </w:p>
        </w:tc>
      </w:tr>
      <w:tr w14:paraId="7DA1853A" w14:textId="77777777" w:rsidTr="00E9471B">
        <w:tblPrEx>
          <w:tblW w:w="9049" w:type="dxa"/>
          <w:tblLayout w:type="fixed"/>
          <w:tblLook w:val="04A0"/>
        </w:tblPrEx>
        <w:tc>
          <w:tcPr>
            <w:tcW w:w="851" w:type="dxa"/>
          </w:tcPr>
          <w:p w:rsidR="002F663C" w:rsidRPr="00711F9C" w:rsidP="00C14444" w14:paraId="4B596D8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40CC4E4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78E4D3E2"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3CD2B84E" w14:textId="77777777" w:rsidTr="00E9471B">
        <w:tblPrEx>
          <w:tblW w:w="9049" w:type="dxa"/>
          <w:tblLayout w:type="fixed"/>
          <w:tblLook w:val="04A0"/>
        </w:tblPrEx>
        <w:tc>
          <w:tcPr>
            <w:tcW w:w="851" w:type="dxa"/>
          </w:tcPr>
          <w:p w:rsidR="002F663C" w:rsidRPr="00711F9C" w:rsidP="00C14444" w14:paraId="3880F34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602230B"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5B072992"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18D3452D" w14:textId="77777777" w:rsidTr="00E9471B">
        <w:tblPrEx>
          <w:tblW w:w="9049" w:type="dxa"/>
          <w:tblLayout w:type="fixed"/>
          <w:tblLook w:val="04A0"/>
        </w:tblPrEx>
        <w:tc>
          <w:tcPr>
            <w:tcW w:w="851" w:type="dxa"/>
          </w:tcPr>
          <w:p w:rsidR="002F663C" w:rsidRPr="00711F9C" w:rsidP="00C14444" w14:paraId="7AF5623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32C709E4"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59E977D9" w14:textId="77777777" w:rsidTr="00E9471B">
        <w:tblPrEx>
          <w:tblW w:w="9049" w:type="dxa"/>
          <w:tblLayout w:type="fixed"/>
          <w:tblLook w:val="04A0"/>
        </w:tblPrEx>
        <w:tc>
          <w:tcPr>
            <w:tcW w:w="851" w:type="dxa"/>
            <w:tcBorders>
              <w:bottom w:val="double" w:sz="4" w:space="0" w:color="auto"/>
            </w:tcBorders>
          </w:tcPr>
          <w:p w:rsidR="002F663C" w:rsidRPr="00711F9C" w:rsidP="00C14444" w14:paraId="7C117E8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630D1B2"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6CA7A608" w14:textId="77777777">
      <w:pPr>
        <w:jc w:val="left"/>
        <w:rPr>
          <w:rFonts w:eastAsia="Calibri" w:cs="Times New Roman"/>
          <w:highlight w:val="yellow"/>
        </w:rPr>
      </w:pPr>
    </w:p>
    <w:p w:rsidR="003971FF" w:rsidRPr="007F6EA2" w:rsidP="00B16ACF" w14:paraId="769977D0"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Pipeline and Hazardous Materials Safety Administration (PHMSA) is amending the </w:t>
      </w:r>
      <w:hyperlink r:id="rId8" w:history="1">
        <w:r w:rsidRPr="002F663C">
          <w:rPr>
            <w:rFonts w:eastAsia="Calibri" w:cs="Times New Roman"/>
            <w:color w:val="0000FF"/>
            <w:szCs w:val="18"/>
            <w:u w:val="single"/>
          </w:rPr>
          <w:t>Hazardous Materials Regulations (HMR)</w:t>
        </w:r>
      </w:hyperlink>
      <w:r w:rsidRPr="002F663C">
        <w:rPr>
          <w:rFonts w:eastAsia="Calibri" w:cs="Times New Roman"/>
          <w:szCs w:val="18"/>
        </w:rPr>
        <w:t xml:space="preserve"> to incorporate by reference and authorize the use of the 2015 edition of the American Society of Mechanical Engineers (ASME) Boiler and Pressure Vessel Code, Section XII--Rules for Construction and Continued Service of Transport Tanks for the construction and continued service of certain specification cargo tank motor vehicles (CTMVs), cryogenic portable tanks, and multi-unit tank car tanks. PHMSA is also amending the HMR to incorporate by reference and authorize the use of the 2015 edition of the National</w:t>
      </w:r>
      <w:r w:rsidRPr="002F663C">
        <w:rPr>
          <w:rFonts w:eastAsia="Calibri" w:cs="Times New Roman"/>
          <w:szCs w:val="18"/>
        </w:rPr>
        <w:t xml:space="preserve"> Board of Boiler and Pressure Vessel Inspectors National Board Inspection Code, Parts 2 and 3 (including Supplement 6) as it applies to the continued service of transport packagings constructed to ASME Section XII standards, as well as for existing CTMVs constructed in accordance with ASME requirements and the HMR. PHMSA finds these updates will result in cost savings and increased regulatory flexibility without compromising safety.</w:t>
      </w:r>
    </w:p>
    <w:p w:rsidR="00B0103F" w:rsidRPr="002F663C" w:rsidP="00B16ACF" w14:paraId="789670F4" w14:textId="77777777">
      <w:pPr>
        <w:spacing w:before="120" w:after="120"/>
        <w:rPr>
          <w:rFonts w:eastAsia="Calibri" w:cs="Times New Roman"/>
          <w:szCs w:val="18"/>
        </w:rPr>
      </w:pPr>
      <w:r w:rsidRPr="002F663C">
        <w:rPr>
          <w:rFonts w:eastAsia="Calibri" w:cs="Times New Roman"/>
          <w:szCs w:val="18"/>
        </w:rPr>
        <w:t>Effective date: 28 October 2026.</w:t>
      </w:r>
    </w:p>
    <w:p w:rsidR="00B0103F" w:rsidRPr="002F663C" w:rsidP="00B16ACF" w14:paraId="3E782D5D" w14:textId="77777777">
      <w:pPr>
        <w:spacing w:before="120" w:after="120"/>
        <w:rPr>
          <w:rFonts w:eastAsia="Calibri" w:cs="Times New Roman"/>
          <w:szCs w:val="18"/>
        </w:rPr>
      </w:pPr>
      <w:r w:rsidRPr="002F663C">
        <w:rPr>
          <w:rFonts w:eastAsia="Calibri" w:cs="Times New Roman"/>
          <w:szCs w:val="18"/>
        </w:rPr>
        <w:t>Voluntary compliance date: 28 September 2026.</w:t>
      </w:r>
    </w:p>
    <w:p w:rsidR="00B0103F" w:rsidRPr="002F663C" w:rsidP="00B16ACF" w14:paraId="237111D8" w14:textId="77777777">
      <w:pPr>
        <w:spacing w:before="120" w:after="120"/>
        <w:rPr>
          <w:rFonts w:eastAsia="Calibri" w:cs="Times New Roman"/>
          <w:szCs w:val="18"/>
        </w:rPr>
      </w:pPr>
      <w:r w:rsidRPr="002F663C">
        <w:rPr>
          <w:rFonts w:eastAsia="Calibri" w:cs="Times New Roman"/>
          <w:szCs w:val="18"/>
        </w:rPr>
        <w:t>Incorporation by reference date: The incorporation by reference of the publications listed in this rule is approved by the Director of the Federal Register as of 28 October 2026.</w:t>
      </w:r>
    </w:p>
    <w:p w:rsidR="00B0103F" w:rsidRPr="002F663C" w:rsidP="00B16ACF" w14:paraId="43C642C4" w14:textId="77777777">
      <w:pPr>
        <w:spacing w:before="120" w:after="120"/>
        <w:rPr>
          <w:rFonts w:eastAsia="Calibri" w:cs="Times New Roman"/>
          <w:szCs w:val="18"/>
        </w:rPr>
      </w:pPr>
      <w:r w:rsidRPr="002F663C">
        <w:rPr>
          <w:rFonts w:eastAsia="Calibri" w:cs="Times New Roman"/>
          <w:szCs w:val="18"/>
        </w:rPr>
        <w:t xml:space="preserve">91 Federal Register (FR) 61144, 28 September 2026; </w:t>
      </w:r>
      <w:hyperlink r:id="rId9" w:history="1">
        <w:r w:rsidRPr="002F663C">
          <w:rPr>
            <w:rFonts w:eastAsia="Calibri" w:cs="Times New Roman"/>
            <w:color w:val="0000FF"/>
            <w:szCs w:val="18"/>
            <w:u w:val="single"/>
          </w:rPr>
          <w:t>Title 49</w:t>
        </w:r>
      </w:hyperlink>
      <w:r w:rsidRPr="002F663C">
        <w:rPr>
          <w:rFonts w:eastAsia="Calibri" w:cs="Times New Roman"/>
          <w:szCs w:val="18"/>
        </w:rPr>
        <w:t xml:space="preserve"> Code of Federal Regulations (CFR) Parts </w:t>
      </w:r>
      <w:hyperlink r:id="rId10" w:history="1">
        <w:r w:rsidRPr="002F663C">
          <w:rPr>
            <w:rFonts w:eastAsia="Calibri" w:cs="Times New Roman"/>
            <w:color w:val="0000FF"/>
            <w:szCs w:val="18"/>
            <w:u w:val="single"/>
          </w:rPr>
          <w:t>107</w:t>
        </w:r>
      </w:hyperlink>
      <w:r w:rsidRPr="002F663C">
        <w:rPr>
          <w:rFonts w:eastAsia="Calibri" w:cs="Times New Roman"/>
          <w:szCs w:val="18"/>
        </w:rPr>
        <w:t xml:space="preserve">, </w:t>
      </w:r>
      <w:hyperlink r:id="rId11" w:history="1">
        <w:r w:rsidRPr="002F663C">
          <w:rPr>
            <w:rFonts w:eastAsia="Calibri" w:cs="Times New Roman"/>
            <w:color w:val="0000FF"/>
            <w:szCs w:val="18"/>
            <w:u w:val="single"/>
          </w:rPr>
          <w:t>171</w:t>
        </w:r>
      </w:hyperlink>
      <w:r w:rsidRPr="002F663C">
        <w:rPr>
          <w:rFonts w:eastAsia="Calibri" w:cs="Times New Roman"/>
          <w:szCs w:val="18"/>
        </w:rPr>
        <w:t xml:space="preserve">, </w:t>
      </w:r>
      <w:hyperlink r:id="rId12" w:history="1">
        <w:r w:rsidRPr="002F663C">
          <w:rPr>
            <w:rFonts w:eastAsia="Calibri" w:cs="Times New Roman"/>
            <w:color w:val="0000FF"/>
            <w:szCs w:val="18"/>
            <w:u w:val="single"/>
          </w:rPr>
          <w:t>173</w:t>
        </w:r>
      </w:hyperlink>
      <w:r w:rsidRPr="002F663C">
        <w:rPr>
          <w:rFonts w:eastAsia="Calibri" w:cs="Times New Roman"/>
          <w:szCs w:val="18"/>
        </w:rPr>
        <w:t xml:space="preserve">, </w:t>
      </w:r>
      <w:hyperlink r:id="rId13" w:history="1">
        <w:r w:rsidRPr="002F663C">
          <w:rPr>
            <w:rFonts w:eastAsia="Calibri" w:cs="Times New Roman"/>
            <w:color w:val="0000FF"/>
            <w:szCs w:val="18"/>
            <w:u w:val="single"/>
          </w:rPr>
          <w:t>178</w:t>
        </w:r>
      </w:hyperlink>
      <w:r w:rsidRPr="002F663C">
        <w:rPr>
          <w:rFonts w:eastAsia="Calibri" w:cs="Times New Roman"/>
          <w:szCs w:val="18"/>
        </w:rPr>
        <w:t xml:space="preserve">, </w:t>
      </w:r>
      <w:hyperlink r:id="rId14" w:history="1">
        <w:r w:rsidRPr="002F663C">
          <w:rPr>
            <w:rFonts w:eastAsia="Calibri" w:cs="Times New Roman"/>
            <w:color w:val="0000FF"/>
            <w:szCs w:val="18"/>
            <w:u w:val="single"/>
          </w:rPr>
          <w:t>179</w:t>
        </w:r>
      </w:hyperlink>
      <w:r w:rsidRPr="002F663C">
        <w:rPr>
          <w:rFonts w:eastAsia="Calibri" w:cs="Times New Roman"/>
          <w:szCs w:val="18"/>
        </w:rPr>
        <w:t xml:space="preserve">, and </w:t>
      </w:r>
      <w:hyperlink r:id="rId15" w:history="1">
        <w:r w:rsidRPr="002F663C">
          <w:rPr>
            <w:rFonts w:eastAsia="Calibri" w:cs="Times New Roman"/>
            <w:color w:val="0000FF"/>
            <w:szCs w:val="18"/>
            <w:u w:val="single"/>
          </w:rPr>
          <w:t>180</w:t>
        </w:r>
      </w:hyperlink>
      <w:r w:rsidRPr="002F663C">
        <w:rPr>
          <w:rFonts w:eastAsia="Calibri" w:cs="Times New Roman"/>
          <w:szCs w:val="18"/>
        </w:rPr>
        <w:t>:</w:t>
      </w:r>
    </w:p>
    <w:p w:rsidR="00B0103F" w:rsidRPr="002F663C" w:rsidP="00B16ACF" w14:paraId="27FC34FE" w14:textId="77777777">
      <w:pPr>
        <w:spacing w:before="120" w:after="120"/>
        <w:rPr>
          <w:rFonts w:eastAsia="Calibri" w:cs="Times New Roman"/>
          <w:szCs w:val="18"/>
        </w:rPr>
      </w:pPr>
      <w:hyperlink r:id="rId16" w:history="1">
        <w:r w:rsidRPr="002F663C">
          <w:rPr>
            <w:rFonts w:eastAsia="Calibri" w:cs="Times New Roman"/>
            <w:color w:val="0000FF"/>
            <w:szCs w:val="18"/>
            <w:u w:val="single"/>
          </w:rPr>
          <w:t>https://www.govinfo.gov/content/pkg/FR-2026-09-28/html/2026-19741.htm</w:t>
        </w:r>
      </w:hyperlink>
    </w:p>
    <w:p w:rsidR="00B0103F" w:rsidRPr="002F663C" w:rsidP="00B16ACF" w14:paraId="1189BB4F" w14:textId="77777777">
      <w:pPr>
        <w:spacing w:before="120" w:after="120"/>
        <w:rPr>
          <w:rFonts w:eastAsia="Calibri" w:cs="Times New Roman"/>
          <w:szCs w:val="18"/>
        </w:rPr>
      </w:pPr>
      <w:hyperlink r:id="rId17" w:history="1">
        <w:r w:rsidRPr="002F663C">
          <w:rPr>
            <w:rFonts w:eastAsia="Calibri" w:cs="Times New Roman"/>
            <w:color w:val="0000FF"/>
            <w:szCs w:val="18"/>
            <w:u w:val="single"/>
          </w:rPr>
          <w:t>https://www.govinfo.gov/content/pkg/FR-2026-09-28/pdf/2026-19741.pdf</w:t>
        </w:r>
      </w:hyperlink>
    </w:p>
    <w:p w:rsidR="00B0103F" w:rsidRPr="002F663C" w:rsidP="00B16ACF" w14:paraId="6BE380AA" w14:textId="77777777">
      <w:pPr>
        <w:spacing w:before="120" w:after="120"/>
        <w:rPr>
          <w:rFonts w:eastAsia="Calibri" w:cs="Times New Roman"/>
          <w:szCs w:val="18"/>
        </w:rPr>
      </w:pPr>
      <w:r w:rsidRPr="002F663C">
        <w:rPr>
          <w:rFonts w:eastAsia="Calibri" w:cs="Times New Roman"/>
          <w:szCs w:val="18"/>
        </w:rPr>
        <w:t xml:space="preserve">This final rule and previous actions notified under the symbol </w:t>
      </w:r>
      <w:hyperlink r:id="rId18" w:history="1">
        <w:r w:rsidRPr="002F663C">
          <w:rPr>
            <w:rFonts w:eastAsia="Calibri" w:cs="Times New Roman"/>
            <w:color w:val="0000FF"/>
            <w:szCs w:val="18"/>
            <w:u w:val="single"/>
          </w:rPr>
          <w:t>G/TBT/N/USA/878</w:t>
        </w:r>
      </w:hyperlink>
      <w:r w:rsidRPr="002F663C">
        <w:rPr>
          <w:rFonts w:eastAsia="Calibri" w:cs="Times New Roman"/>
          <w:szCs w:val="18"/>
        </w:rPr>
        <w:t xml:space="preserve"> are identified by Docket Number PHMSA-2010-0019. The Docket Folder is available on Regulations.gov at </w:t>
      </w:r>
      <w:hyperlink r:id="rId19" w:history="1">
        <w:r w:rsidRPr="002F663C">
          <w:rPr>
            <w:rFonts w:eastAsia="Calibri" w:cs="Times New Roman"/>
            <w:color w:val="0000FF"/>
            <w:szCs w:val="18"/>
            <w:u w:val="single"/>
          </w:rPr>
          <w:t>https://www.regulations.gov/docket/PHMSA-2010-0019/document</w:t>
        </w:r>
      </w:hyperlink>
      <w:r w:rsidRPr="002F663C">
        <w:rPr>
          <w:rFonts w:eastAsia="Calibri" w:cs="Times New Roman"/>
          <w:szCs w:val="18"/>
        </w:rPr>
        <w:t xml:space="preserve"> and provides access to primary and supporting documents as well as comments received. Documents are also accessible from </w:t>
      </w:r>
      <w:hyperlink r:id="rId20"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11CBF817" w14:textId="77777777">
      <w:pPr>
        <w:jc w:val="center"/>
        <w:rPr>
          <w:b/>
        </w:rPr>
      </w:pPr>
      <w:r w:rsidRPr="003971FF">
        <w:rPr>
          <w:b/>
        </w:rPr>
        <w:t>__________</w:t>
      </w:r>
    </w:p>
    <w:p w:rsidR="004D4D19" w:rsidP="007F38C2" w14:paraId="58F9476C" w14:textId="77777777">
      <w:pPr>
        <w:jc w:val="center"/>
        <w:rPr>
          <w:b/>
        </w:rPr>
      </w:pPr>
    </w:p>
    <w:p w:rsidR="00A1565D" w:rsidP="003971FF" w14:paraId="6E35D57F" w14:textId="77777777">
      <w:pPr>
        <w:jc w:val="center"/>
        <w:rPr>
          <w:b/>
        </w:rPr>
      </w:pPr>
    </w:p>
    <w:sectPr w:rsidSect="006C5A96">
      <w:headerReference w:type="even" r:id="rId21"/>
      <w:headerReference w:type="default" r:id="rId22"/>
      <w:footerReference w:type="even" r:id="rId23"/>
      <w:footerReference w:type="default" r:id="rId24"/>
      <w:headerReference w:type="first" r:id="rId25"/>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F434686"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4E645CC"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05C56" w:rsidP="00ED54E0" w14:paraId="1AF71BC1" w14:textId="77777777">
      <w:r>
        <w:separator/>
      </w:r>
    </w:p>
  </w:footnote>
  <w:footnote w:type="continuationSeparator" w:id="1">
    <w:p w:rsidR="00905C56" w:rsidP="00ED54E0" w14:paraId="6A58DFCA" w14:textId="77777777">
      <w:r>
        <w:continuationSeparator/>
      </w:r>
    </w:p>
  </w:footnote>
  <w:footnote w:id="2">
    <w:p w:rsidR="007F6EA2" w14:paraId="07381EC2"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C395A8B"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0F532E83" w14:textId="77777777">
    <w:pPr>
      <w:pStyle w:val="Header"/>
      <w:pBdr>
        <w:bottom w:val="single" w:sz="4" w:space="1" w:color="auto"/>
      </w:pBdr>
      <w:tabs>
        <w:tab w:val="clear" w:pos="4513"/>
        <w:tab w:val="clear" w:pos="9027"/>
      </w:tabs>
      <w:jc w:val="center"/>
    </w:pPr>
  </w:p>
  <w:p w:rsidR="00DD3DD7" w:rsidRPr="00DD3DD7" w:rsidP="00DD3DD7" w14:paraId="052C0AEB"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5AB9D1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3D191A87" w14:textId="77777777">
    <w:pPr>
      <w:pStyle w:val="Header"/>
      <w:pBdr>
        <w:bottom w:val="single" w:sz="4" w:space="1" w:color="auto"/>
      </w:pBdr>
      <w:tabs>
        <w:tab w:val="clear" w:pos="4513"/>
        <w:tab w:val="clear" w:pos="9027"/>
      </w:tabs>
      <w:jc w:val="center"/>
    </w:pPr>
    <w:bookmarkStart w:id="3" w:name="spsSymbolHeader"/>
    <w:r w:rsidRPr="00DD3DD7">
      <w:t>G/TBT/N/USA/878/Add.3</w:t>
    </w:r>
    <w:bookmarkEnd w:id="3"/>
  </w:p>
  <w:p w:rsidR="00DD3DD7" w:rsidRPr="00DD3DD7" w:rsidP="00DD3DD7" w14:paraId="071B7FD8" w14:textId="77777777">
    <w:pPr>
      <w:pStyle w:val="Header"/>
      <w:pBdr>
        <w:bottom w:val="single" w:sz="4" w:space="1" w:color="auto"/>
      </w:pBdr>
      <w:tabs>
        <w:tab w:val="clear" w:pos="4513"/>
        <w:tab w:val="clear" w:pos="9027"/>
      </w:tabs>
      <w:jc w:val="center"/>
    </w:pPr>
  </w:p>
  <w:p w:rsidR="00DD3DD7" w:rsidRPr="00DD3DD7" w:rsidP="00DD3DD7" w14:paraId="450429E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4BC96C9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74B807F"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09EE78F"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B264C58" w14:textId="77777777">
          <w:pPr>
            <w:jc w:val="right"/>
            <w:rPr>
              <w:b/>
              <w:color w:val="FF0000"/>
              <w:szCs w:val="16"/>
            </w:rPr>
          </w:pPr>
          <w:r>
            <w:rPr>
              <w:b/>
              <w:color w:val="FF0000"/>
              <w:szCs w:val="16"/>
            </w:rPr>
            <w:t xml:space="preserve"> </w:t>
          </w:r>
        </w:p>
      </w:tc>
    </w:tr>
    <w:tr w14:paraId="275A2BAB"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68D4847"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51A91DA" w14:textId="77777777">
          <w:pPr>
            <w:jc w:val="right"/>
            <w:rPr>
              <w:b/>
              <w:szCs w:val="16"/>
            </w:rPr>
          </w:pPr>
        </w:p>
      </w:tc>
    </w:tr>
    <w:tr w14:paraId="755144AE"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4949FFEF"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6EC523C" w14:textId="77777777">
          <w:pPr>
            <w:jc w:val="right"/>
            <w:rPr>
              <w:rFonts w:eastAsia="Calibri" w:cs="Times New Roman"/>
              <w:b/>
              <w:szCs w:val="16"/>
            </w:rPr>
          </w:pPr>
          <w:bookmarkStart w:id="4" w:name="bmkSymbols"/>
          <w:r w:rsidRPr="002F663C">
            <w:rPr>
              <w:rFonts w:eastAsia="Calibri" w:cs="Times New Roman"/>
              <w:b/>
              <w:szCs w:val="16"/>
            </w:rPr>
            <w:t>G/TBT/N/USA/878/Add.3</w:t>
          </w:r>
          <w:bookmarkEnd w:id="4"/>
        </w:p>
        <w:p w:rsidR="00C14444" w:rsidRPr="00C14444" w:rsidP="00C14444" w14:paraId="231B9C8B" w14:textId="77777777">
          <w:pPr>
            <w:jc w:val="center"/>
            <w:rPr>
              <w:szCs w:val="16"/>
            </w:rPr>
          </w:pPr>
        </w:p>
      </w:tc>
    </w:tr>
    <w:tr w14:paraId="7315848C"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49C4AC4A" w14:textId="77777777"/>
      </w:tc>
      <w:tc>
        <w:tcPr>
          <w:tcW w:w="5448" w:type="dxa"/>
          <w:gridSpan w:val="2"/>
          <w:shd w:val="clear" w:color="auto" w:fill="FFFFFF"/>
          <w:tcMar>
            <w:left w:w="108" w:type="dxa"/>
            <w:right w:w="108" w:type="dxa"/>
          </w:tcMar>
          <w:vAlign w:val="center"/>
        </w:tcPr>
        <w:p w:rsidR="00ED54E0" w:rsidRPr="00182B84" w:rsidP="00425DC5" w14:paraId="19126E13" w14:textId="77777777">
          <w:pPr>
            <w:jc w:val="right"/>
            <w:rPr>
              <w:szCs w:val="16"/>
            </w:rPr>
          </w:pPr>
          <w:bookmarkStart w:id="5" w:name="bmkDate"/>
          <w:r w:rsidRPr="00182B84">
            <w:rPr>
              <w:szCs w:val="16"/>
            </w:rPr>
            <w:t>29 September 2026</w:t>
          </w:r>
          <w:bookmarkEnd w:id="5"/>
        </w:p>
      </w:tc>
    </w:tr>
    <w:tr w14:paraId="450F853F"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B8AF12A" w14:textId="77777777">
          <w:pPr>
            <w:jc w:val="left"/>
            <w:rPr>
              <w:b/>
            </w:rPr>
          </w:pPr>
          <w:bookmarkStart w:id="6" w:name="bmkSerial"/>
          <w:r>
            <w:rPr>
              <w:rFonts w:ascii="Verdana" w:eastAsia="Verdana" w:hAnsi="Verdana" w:cs="Verdana"/>
              <w:b w:val="0"/>
              <w:color w:val="FF0000"/>
              <w:sz w:val="18"/>
            </w:rPr>
            <w:t>(26-6698)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3C5286F0"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633B2F91"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7F77967A"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29D4C94C"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09CA80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11652260">
    <w:abstractNumId w:val="9"/>
  </w:num>
  <w:num w:numId="2" w16cid:durableId="1429161183">
    <w:abstractNumId w:val="7"/>
  </w:num>
  <w:num w:numId="3" w16cid:durableId="1936085268">
    <w:abstractNumId w:val="6"/>
  </w:num>
  <w:num w:numId="4" w16cid:durableId="1207372282">
    <w:abstractNumId w:val="5"/>
  </w:num>
  <w:num w:numId="5" w16cid:durableId="746996885">
    <w:abstractNumId w:val="4"/>
  </w:num>
  <w:num w:numId="6" w16cid:durableId="1444567633">
    <w:abstractNumId w:val="12"/>
  </w:num>
  <w:num w:numId="7" w16cid:durableId="49619845">
    <w:abstractNumId w:val="11"/>
  </w:num>
  <w:num w:numId="8" w16cid:durableId="624701402">
    <w:abstractNumId w:val="10"/>
  </w:num>
  <w:num w:numId="9" w16cid:durableId="3142635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18591676">
    <w:abstractNumId w:val="13"/>
  </w:num>
  <w:num w:numId="11" w16cid:durableId="358094559">
    <w:abstractNumId w:val="8"/>
  </w:num>
  <w:num w:numId="12" w16cid:durableId="326252305">
    <w:abstractNumId w:val="3"/>
  </w:num>
  <w:num w:numId="13" w16cid:durableId="1681008670">
    <w:abstractNumId w:val="2"/>
  </w:num>
  <w:num w:numId="14" w16cid:durableId="990324840">
    <w:abstractNumId w:val="1"/>
  </w:num>
  <w:num w:numId="15" w16cid:durableId="1167792716">
    <w:abstractNumId w:val="0"/>
  </w:num>
  <w:num w:numId="16" w16cid:durableId="728579448">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D022A"/>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05C56"/>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103F"/>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267AF"/>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D0AA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49/subtitle-B/chapter-I/subchapter-A/part-107" TargetMode="External" /><Relationship Id="rId11" Type="http://schemas.openxmlformats.org/officeDocument/2006/relationships/hyperlink" Target="https://www.ecfr.gov/current/title-49/subtitle-B/chapter-I/subchapter-C/part-171" TargetMode="External" /><Relationship Id="rId12" Type="http://schemas.openxmlformats.org/officeDocument/2006/relationships/hyperlink" Target="https://www.ecfr.gov/current/title-49/subtitle-B/chapter-I/subchapter-C/part-173" TargetMode="External" /><Relationship Id="rId13" Type="http://schemas.openxmlformats.org/officeDocument/2006/relationships/hyperlink" Target="https://www.ecfr.gov/current/title-49/subtitle-B/chapter-I/subchapter-C/part-178" TargetMode="External" /><Relationship Id="rId14" Type="http://schemas.openxmlformats.org/officeDocument/2006/relationships/hyperlink" Target="https://www.ecfr.gov/current/title-49/subtitle-B/chapter-I/subchapter-C/part-179" TargetMode="External" /><Relationship Id="rId15" Type="http://schemas.openxmlformats.org/officeDocument/2006/relationships/hyperlink" Target="https://www.ecfr.gov/current/title-49/subtitle-B/chapter-I/subchapter-C/part-180" TargetMode="External" /><Relationship Id="rId16" Type="http://schemas.openxmlformats.org/officeDocument/2006/relationships/hyperlink" Target="https://www.govinfo.gov/content/pkg/FR-2026-09-28/html/2026-19741.htm" TargetMode="External" /><Relationship Id="rId17" Type="http://schemas.openxmlformats.org/officeDocument/2006/relationships/hyperlink" Target="https://www.govinfo.gov/content/pkg/FR-2026-09-28/pdf/2026-19741.pdf" TargetMode="External" /><Relationship Id="rId18" Type="http://schemas.openxmlformats.org/officeDocument/2006/relationships/hyperlink" Target="https://eping.wto.org/en/Search?domainIds=1&amp;documentSymbol=usa%2F878" TargetMode="External" /><Relationship Id="rId19" Type="http://schemas.openxmlformats.org/officeDocument/2006/relationships/hyperlink" Target="https://www.regulations.gov/docket/PHMSA-2010-0019/document" TargetMode="External" /><Relationship Id="rId2" Type="http://schemas.openxmlformats.org/officeDocument/2006/relationships/settings" Target="settings.xml" /><Relationship Id="rId20" Type="http://schemas.openxmlformats.org/officeDocument/2006/relationships/hyperlink" Target="http://www.regulations.gov/" TargetMode="External" /><Relationship Id="rId21" Type="http://schemas.openxmlformats.org/officeDocument/2006/relationships/header" Target="header1.xml" /><Relationship Id="rId22" Type="http://schemas.openxmlformats.org/officeDocument/2006/relationships/header" Target="header2.xml" /><Relationship Id="rId23" Type="http://schemas.openxmlformats.org/officeDocument/2006/relationships/footer" Target="footer1.xml" /><Relationship Id="rId24" Type="http://schemas.openxmlformats.org/officeDocument/2006/relationships/footer" Target="footer2.xml" /><Relationship Id="rId25" Type="http://schemas.openxmlformats.org/officeDocument/2006/relationships/header" Target="header3.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final_measure/26_05056_00_e.pdf" TargetMode="External" /><Relationship Id="rId8" Type="http://schemas.openxmlformats.org/officeDocument/2006/relationships/hyperlink" Target="https://www.phmsa.dot.gov/standards-rulemaking/hazmat/hazardous-materials-regulations" TargetMode="External" /><Relationship Id="rId9" Type="http://schemas.openxmlformats.org/officeDocument/2006/relationships/hyperlink" Target="https://www.ecfr.gov/current/title-49"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8C0B8079-2333-48BC-B918-4EAAA5DFC8F4}">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629</Words>
  <Characters>3590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2026-09-29T08:16:00Z</dcterms:created>
  <dcterms:modified xsi:type="dcterms:W3CDTF">2026-09-29T08:16:00Z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