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E911E56" w14:textId="77777777">
      <w:pPr>
        <w:pStyle w:val="Title"/>
      </w:pPr>
      <w:r w:rsidRPr="002F663C">
        <w:t>NOTIFICATION</w:t>
      </w:r>
    </w:p>
    <w:p w:rsidR="002F663C" w:rsidRPr="002F663C" w:rsidP="00DD3DD7" w14:paraId="0045C46E" w14:textId="77777777">
      <w:pPr>
        <w:pStyle w:val="Title3"/>
      </w:pPr>
      <w:r w:rsidRPr="002F663C">
        <w:t>Addendum</w:t>
      </w:r>
    </w:p>
    <w:p w:rsidR="002F663C" w:rsidP="001E2E4A" w14:paraId="0F8D54C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21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3BF92AB6" w14:textId="77777777">
      <w:pPr>
        <w:rPr>
          <w:rFonts w:eastAsia="Calibri" w:cs="Times New Roman"/>
        </w:rPr>
      </w:pPr>
    </w:p>
    <w:p w:rsidR="002F663C" w:rsidRPr="002F663C" w:rsidP="002F663C" w14:paraId="60E84B9B" w14:textId="77777777">
      <w:pPr>
        <w:jc w:val="center"/>
        <w:rPr>
          <w:rFonts w:eastAsia="Calibri" w:cs="Times New Roman"/>
          <w:b/>
        </w:rPr>
      </w:pPr>
      <w:r w:rsidRPr="002F663C">
        <w:rPr>
          <w:rFonts w:eastAsia="Calibri" w:cs="Times New Roman"/>
          <w:b/>
        </w:rPr>
        <w:t>_______________</w:t>
      </w:r>
    </w:p>
    <w:p w:rsidR="002F663C" w:rsidP="002F663C" w14:paraId="4AA97444" w14:textId="77777777">
      <w:pPr>
        <w:rPr>
          <w:rFonts w:eastAsia="Calibri" w:cs="Times New Roman"/>
        </w:rPr>
      </w:pPr>
    </w:p>
    <w:p w:rsidR="00C14444" w:rsidRPr="002F663C" w:rsidP="002F663C" w14:paraId="61DE3150" w14:textId="77777777">
      <w:pPr>
        <w:rPr>
          <w:rFonts w:eastAsia="Calibri" w:cs="Times New Roman"/>
        </w:rPr>
      </w:pPr>
    </w:p>
    <w:p w:rsidR="002F663C" w:rsidRPr="002F663C" w:rsidP="002F663C" w14:paraId="2416B76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Ordinance 555, 11 September 2026</w:t>
      </w:r>
    </w:p>
    <w:p w:rsidR="002F663C" w:rsidRPr="002F663C" w:rsidP="002F663C" w14:paraId="168604F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F915BD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E7953D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34DC1D5" w14:textId="77777777" w:rsidTr="00E9471B">
        <w:tblPrEx>
          <w:tblW w:w="9049" w:type="dxa"/>
          <w:tblLayout w:type="fixed"/>
          <w:tblLook w:val="04A0"/>
        </w:tblPrEx>
        <w:tc>
          <w:tcPr>
            <w:tcW w:w="851" w:type="dxa"/>
          </w:tcPr>
          <w:p w:rsidR="002F663C" w:rsidRPr="00711F9C" w:rsidP="00C14444" w14:paraId="067CCB3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C8D499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413DB39" w14:textId="77777777" w:rsidTr="00E9471B">
        <w:tblPrEx>
          <w:tblW w:w="9049" w:type="dxa"/>
          <w:tblLayout w:type="fixed"/>
          <w:tblLook w:val="04A0"/>
        </w:tblPrEx>
        <w:tc>
          <w:tcPr>
            <w:tcW w:w="851" w:type="dxa"/>
          </w:tcPr>
          <w:p w:rsidR="002F663C" w:rsidRPr="00711F9C" w:rsidP="00C14444" w14:paraId="6911F26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08D341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3AD4067" w14:textId="77777777" w:rsidTr="00E9471B">
        <w:tblPrEx>
          <w:tblW w:w="9049" w:type="dxa"/>
          <w:tblLayout w:type="fixed"/>
          <w:tblLook w:val="04A0"/>
        </w:tblPrEx>
        <w:tc>
          <w:tcPr>
            <w:tcW w:w="851" w:type="dxa"/>
          </w:tcPr>
          <w:p w:rsidR="002F663C" w:rsidRPr="00711F9C" w:rsidP="00C14444" w14:paraId="38CE129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4AB1E1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September 2026</w:t>
            </w:r>
          </w:p>
        </w:tc>
      </w:tr>
      <w:tr w14:paraId="640A483F" w14:textId="77777777" w:rsidTr="00E9471B">
        <w:tblPrEx>
          <w:tblW w:w="9049" w:type="dxa"/>
          <w:tblLayout w:type="fixed"/>
          <w:tblLook w:val="04A0"/>
        </w:tblPrEx>
        <w:tc>
          <w:tcPr>
            <w:tcW w:w="851" w:type="dxa"/>
          </w:tcPr>
          <w:p w:rsidR="002F663C" w:rsidRPr="00711F9C" w:rsidP="00C14444" w14:paraId="688C7B2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05E12F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14 September 2026</w:t>
            </w:r>
          </w:p>
        </w:tc>
      </w:tr>
      <w:tr w14:paraId="2C4CC696" w14:textId="77777777" w:rsidTr="00E9471B">
        <w:tblPrEx>
          <w:tblW w:w="9049" w:type="dxa"/>
          <w:tblLayout w:type="fixed"/>
          <w:tblLook w:val="04A0"/>
        </w:tblPrEx>
        <w:tc>
          <w:tcPr>
            <w:tcW w:w="851" w:type="dxa"/>
          </w:tcPr>
          <w:p w:rsidR="002F663C" w:rsidRPr="00711F9C" w:rsidP="00C14444" w14:paraId="798293D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16EA215"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B3D20AE" w14:textId="77777777" w:rsidTr="00E9471B">
        <w:tblPrEx>
          <w:tblW w:w="9049" w:type="dxa"/>
          <w:tblLayout w:type="fixed"/>
          <w:tblLook w:val="04A0"/>
        </w:tblPrEx>
        <w:tc>
          <w:tcPr>
            <w:tcW w:w="851" w:type="dxa"/>
          </w:tcPr>
          <w:p w:rsidR="002F663C" w:rsidRPr="00711F9C" w:rsidP="00C14444" w14:paraId="186B42D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5F0A7A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C5C47D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E8E7C77" w14:textId="77777777" w:rsidTr="00E9471B">
        <w:tblPrEx>
          <w:tblW w:w="9049" w:type="dxa"/>
          <w:tblLayout w:type="fixed"/>
          <w:tblLook w:val="04A0"/>
        </w:tblPrEx>
        <w:tc>
          <w:tcPr>
            <w:tcW w:w="851" w:type="dxa"/>
          </w:tcPr>
          <w:p w:rsidR="002F663C" w:rsidRPr="00711F9C" w:rsidP="00C14444" w14:paraId="531B8CA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2F09E0A"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3EBD3A1" w14:textId="77777777">
            <w:pPr>
              <w:spacing w:before="120" w:after="120"/>
              <w:rPr>
                <w:rFonts w:eastAsia="Calibri" w:cs="Times New Roman"/>
              </w:rPr>
            </w:pPr>
            <w:hyperlink r:id="rId7" w:tgtFrame="_blank" w:history="1">
              <w:r>
                <w:rPr>
                  <w:rFonts w:eastAsia="Calibri" w:cs="Times New Roman"/>
                  <w:color w:val="0000FF"/>
                  <w:u w:val="single"/>
                </w:rPr>
                <w:t>https://www.in.gov.br/web/dou/-/portaria-n-555-de-11-de-setembro-de-2026-731393375</w:t>
              </w:r>
            </w:hyperlink>
          </w:p>
          <w:p w:rsidR="002F663C" w:rsidRPr="002F663C" w:rsidP="00C14444" w14:paraId="492293D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FEB61DB" w14:textId="77777777" w:rsidTr="00E9471B">
        <w:tblPrEx>
          <w:tblW w:w="9049" w:type="dxa"/>
          <w:tblLayout w:type="fixed"/>
          <w:tblLook w:val="04A0"/>
        </w:tblPrEx>
        <w:tc>
          <w:tcPr>
            <w:tcW w:w="851" w:type="dxa"/>
          </w:tcPr>
          <w:p w:rsidR="002F663C" w:rsidRPr="00711F9C" w:rsidP="00C14444" w14:paraId="4B49C78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8779DB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08ABF23" w14:textId="77777777" w:rsidTr="00E9471B">
        <w:tblPrEx>
          <w:tblW w:w="9049" w:type="dxa"/>
          <w:tblLayout w:type="fixed"/>
          <w:tblLook w:val="04A0"/>
        </w:tblPrEx>
        <w:tc>
          <w:tcPr>
            <w:tcW w:w="851" w:type="dxa"/>
            <w:tcBorders>
              <w:bottom w:val="double" w:sz="4" w:space="0" w:color="auto"/>
            </w:tcBorders>
          </w:tcPr>
          <w:p w:rsidR="002F663C" w:rsidRPr="00711F9C" w:rsidP="00C14444" w14:paraId="1415F49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955EDA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5D386A5" w14:textId="77777777">
      <w:pPr>
        <w:jc w:val="left"/>
        <w:rPr>
          <w:rFonts w:eastAsia="Calibri" w:cs="Times New Roman"/>
          <w:highlight w:val="yellow"/>
        </w:rPr>
      </w:pPr>
    </w:p>
    <w:p w:rsidR="003971FF" w:rsidRPr="007F6EA2" w:rsidP="00B16ACF" w14:paraId="5EE1351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Instituto Nacional de Metrologia, Qualidade e Tecnologia amends Inmetro Ordinance No. 282 26 August 2020, which establishes the risk classification of economic activities associated with public authorization acts under Inmetro's responsibility within the scope of compulsory conformity assessment.</w:t>
      </w:r>
    </w:p>
    <w:p w:rsidR="006C5A96" w:rsidP="006C5A96" w14:paraId="00BF9D30" w14:textId="77777777">
      <w:pPr>
        <w:jc w:val="center"/>
        <w:rPr>
          <w:b/>
        </w:rPr>
      </w:pPr>
      <w:r w:rsidRPr="003971FF">
        <w:rPr>
          <w:b/>
        </w:rPr>
        <w:t>__________</w:t>
      </w:r>
    </w:p>
    <w:p w:rsidR="004D4D19" w:rsidP="007F38C2" w14:paraId="51FDF362" w14:textId="77777777">
      <w:pPr>
        <w:jc w:val="center"/>
        <w:rPr>
          <w:b/>
        </w:rPr>
      </w:pPr>
    </w:p>
    <w:p w:rsidR="00A1565D" w:rsidP="003971FF" w14:paraId="166ED23E"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CAE9E0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50B47A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61B7" w:rsidP="00ED54E0" w14:paraId="7B70B903" w14:textId="77777777">
      <w:r>
        <w:separator/>
      </w:r>
    </w:p>
  </w:footnote>
  <w:footnote w:type="continuationSeparator" w:id="1">
    <w:p w:rsidR="001B61B7" w:rsidP="00ED54E0" w14:paraId="18DE1A19" w14:textId="77777777">
      <w:r>
        <w:continuationSeparator/>
      </w:r>
    </w:p>
  </w:footnote>
  <w:footnote w:id="2">
    <w:p w:rsidR="007F6EA2" w14:paraId="2B2A405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95E5B2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3DB67FE" w14:textId="77777777">
    <w:pPr>
      <w:pStyle w:val="Header"/>
      <w:pBdr>
        <w:bottom w:val="single" w:sz="4" w:space="1" w:color="auto"/>
      </w:pBdr>
      <w:tabs>
        <w:tab w:val="clear" w:pos="4513"/>
        <w:tab w:val="clear" w:pos="9027"/>
      </w:tabs>
      <w:jc w:val="center"/>
    </w:pPr>
  </w:p>
  <w:p w:rsidR="00DD3DD7" w:rsidRPr="00DD3DD7" w:rsidP="00DD3DD7" w14:paraId="7331550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6982B5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0401CD6" w14:textId="77777777">
    <w:pPr>
      <w:pStyle w:val="Header"/>
      <w:pBdr>
        <w:bottom w:val="single" w:sz="4" w:space="1" w:color="auto"/>
      </w:pBdr>
      <w:tabs>
        <w:tab w:val="clear" w:pos="4513"/>
        <w:tab w:val="clear" w:pos="9027"/>
      </w:tabs>
      <w:jc w:val="center"/>
    </w:pPr>
    <w:bookmarkStart w:id="3" w:name="spsSymbolHeader"/>
    <w:r w:rsidRPr="00DD3DD7">
      <w:t>G/TBT/N/BRA/1077/Add.12</w:t>
    </w:r>
    <w:bookmarkEnd w:id="3"/>
  </w:p>
  <w:p w:rsidR="00DD3DD7" w:rsidRPr="00DD3DD7" w:rsidP="00DD3DD7" w14:paraId="569F08E5" w14:textId="77777777">
    <w:pPr>
      <w:pStyle w:val="Header"/>
      <w:pBdr>
        <w:bottom w:val="single" w:sz="4" w:space="1" w:color="auto"/>
      </w:pBdr>
      <w:tabs>
        <w:tab w:val="clear" w:pos="4513"/>
        <w:tab w:val="clear" w:pos="9027"/>
      </w:tabs>
      <w:jc w:val="center"/>
    </w:pPr>
  </w:p>
  <w:p w:rsidR="00DD3DD7" w:rsidRPr="00DD3DD7" w:rsidP="00DD3DD7" w14:paraId="2E251A2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068FF4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AFEF7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738348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24463A7" w14:textId="77777777">
          <w:pPr>
            <w:jc w:val="right"/>
            <w:rPr>
              <w:b/>
              <w:color w:val="FF0000"/>
              <w:szCs w:val="16"/>
            </w:rPr>
          </w:pPr>
          <w:r>
            <w:rPr>
              <w:b/>
              <w:color w:val="FF0000"/>
              <w:szCs w:val="16"/>
            </w:rPr>
            <w:t xml:space="preserve"> </w:t>
          </w:r>
        </w:p>
      </w:tc>
    </w:tr>
    <w:tr w14:paraId="558A01C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C833E8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202191A" w14:textId="77777777">
          <w:pPr>
            <w:jc w:val="right"/>
            <w:rPr>
              <w:b/>
              <w:szCs w:val="16"/>
            </w:rPr>
          </w:pPr>
        </w:p>
      </w:tc>
    </w:tr>
    <w:tr w14:paraId="2DDB46A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A7297D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937F291" w14:textId="77777777">
          <w:pPr>
            <w:jc w:val="right"/>
            <w:rPr>
              <w:rFonts w:eastAsia="Calibri" w:cs="Times New Roman"/>
              <w:b/>
              <w:szCs w:val="16"/>
            </w:rPr>
          </w:pPr>
          <w:bookmarkStart w:id="4" w:name="bmkSymbols"/>
          <w:r w:rsidRPr="002F663C">
            <w:rPr>
              <w:rFonts w:eastAsia="Calibri" w:cs="Times New Roman"/>
              <w:b/>
              <w:szCs w:val="16"/>
            </w:rPr>
            <w:t>G/TBT/N/BRA/1077/Add.12</w:t>
          </w:r>
          <w:bookmarkEnd w:id="4"/>
        </w:p>
        <w:p w:rsidR="00C14444" w:rsidRPr="00C14444" w:rsidP="00C14444" w14:paraId="426167E3" w14:textId="77777777">
          <w:pPr>
            <w:jc w:val="center"/>
            <w:rPr>
              <w:szCs w:val="16"/>
            </w:rPr>
          </w:pPr>
        </w:p>
      </w:tc>
    </w:tr>
    <w:tr w14:paraId="2C95A30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0336B89" w14:textId="77777777"/>
      </w:tc>
      <w:tc>
        <w:tcPr>
          <w:tcW w:w="5448" w:type="dxa"/>
          <w:gridSpan w:val="2"/>
          <w:shd w:val="clear" w:color="auto" w:fill="FFFFFF"/>
          <w:tcMar>
            <w:left w:w="108" w:type="dxa"/>
            <w:right w:w="108" w:type="dxa"/>
          </w:tcMar>
          <w:vAlign w:val="center"/>
        </w:tcPr>
        <w:p w:rsidR="00ED54E0" w:rsidRPr="00182B84" w:rsidP="00425DC5" w14:paraId="5FB136F1" w14:textId="77777777">
          <w:pPr>
            <w:jc w:val="right"/>
            <w:rPr>
              <w:szCs w:val="16"/>
            </w:rPr>
          </w:pPr>
          <w:bookmarkStart w:id="5" w:name="bmkDate"/>
          <w:r w:rsidRPr="00182B84">
            <w:rPr>
              <w:szCs w:val="16"/>
            </w:rPr>
            <w:t>22 September 2026</w:t>
          </w:r>
          <w:bookmarkEnd w:id="5"/>
        </w:p>
      </w:tc>
    </w:tr>
    <w:tr w14:paraId="3B7C4B7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39C1777" w14:textId="77777777">
          <w:pPr>
            <w:jc w:val="left"/>
            <w:rPr>
              <w:b/>
            </w:rPr>
          </w:pPr>
          <w:bookmarkStart w:id="6" w:name="bmkSerial"/>
          <w:r>
            <w:rPr>
              <w:rFonts w:ascii="Verdana" w:eastAsia="Verdana" w:hAnsi="Verdana" w:cs="Verdana"/>
              <w:b w:val="0"/>
              <w:color w:val="FF0000"/>
              <w:sz w:val="18"/>
            </w:rPr>
            <w:t>(26-6528)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63CF47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D847B1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A679E7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438438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E743A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6700911">
    <w:abstractNumId w:val="9"/>
  </w:num>
  <w:num w:numId="2" w16cid:durableId="1323704231">
    <w:abstractNumId w:val="7"/>
  </w:num>
  <w:num w:numId="3" w16cid:durableId="1925676745">
    <w:abstractNumId w:val="6"/>
  </w:num>
  <w:num w:numId="4" w16cid:durableId="1225796157">
    <w:abstractNumId w:val="5"/>
  </w:num>
  <w:num w:numId="5" w16cid:durableId="713502862">
    <w:abstractNumId w:val="4"/>
  </w:num>
  <w:num w:numId="6" w16cid:durableId="807742101">
    <w:abstractNumId w:val="12"/>
  </w:num>
  <w:num w:numId="7" w16cid:durableId="631251048">
    <w:abstractNumId w:val="11"/>
  </w:num>
  <w:num w:numId="8" w16cid:durableId="544562424">
    <w:abstractNumId w:val="10"/>
  </w:num>
  <w:num w:numId="9" w16cid:durableId="506755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53304">
    <w:abstractNumId w:val="13"/>
  </w:num>
  <w:num w:numId="11" w16cid:durableId="1700742749">
    <w:abstractNumId w:val="8"/>
  </w:num>
  <w:num w:numId="12" w16cid:durableId="2127968378">
    <w:abstractNumId w:val="3"/>
  </w:num>
  <w:num w:numId="13" w16cid:durableId="1806042598">
    <w:abstractNumId w:val="2"/>
  </w:num>
  <w:num w:numId="14" w16cid:durableId="1493135755">
    <w:abstractNumId w:val="1"/>
  </w:num>
  <w:num w:numId="15" w16cid:durableId="184370660">
    <w:abstractNumId w:val="0"/>
  </w:num>
  <w:num w:numId="16" w16cid:durableId="92596346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B61B7"/>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45D2"/>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54DDE"/>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07C1F"/>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252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web/dou/-/portaria-n-555-de-11-de-setembro-de-2026-731393375"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0B13ECD9-0DAE-4CCD-9CFA-8CFA77DCAF0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2026-09-22T07:14:00Z</dcterms:created>
  <dcterms:modified xsi:type="dcterms:W3CDTF">2026-09-22T07:14:00Z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