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7801357A" w14:textId="77777777">
      <w:pPr>
        <w:pStyle w:val="Title"/>
      </w:pPr>
      <w:r w:rsidRPr="002F663C">
        <w:t>NOTIFICATION</w:t>
      </w:r>
    </w:p>
    <w:p w:rsidR="002F663C" w:rsidRPr="002F663C" w:rsidP="00DD3DD7" w14:paraId="616D81F4" w14:textId="77777777">
      <w:pPr>
        <w:pStyle w:val="Title3"/>
      </w:pPr>
      <w:r w:rsidRPr="002F663C">
        <w:t>Addendum</w:t>
      </w:r>
    </w:p>
    <w:p w:rsidR="002F663C" w:rsidP="001E2E4A" w14:paraId="411F5890"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14 September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6A956DDE" w14:textId="77777777">
      <w:pPr>
        <w:rPr>
          <w:rFonts w:eastAsia="Calibri" w:cs="Times New Roman"/>
        </w:rPr>
      </w:pPr>
    </w:p>
    <w:p w:rsidR="002F663C" w:rsidRPr="002F663C" w:rsidP="002F663C" w14:paraId="01A4CA86" w14:textId="77777777">
      <w:pPr>
        <w:jc w:val="center"/>
        <w:rPr>
          <w:rFonts w:eastAsia="Calibri" w:cs="Times New Roman"/>
          <w:b/>
        </w:rPr>
      </w:pPr>
      <w:r w:rsidRPr="002F663C">
        <w:rPr>
          <w:rFonts w:eastAsia="Calibri" w:cs="Times New Roman"/>
          <w:b/>
        </w:rPr>
        <w:t>_______________</w:t>
      </w:r>
    </w:p>
    <w:p w:rsidR="002F663C" w:rsidP="002F663C" w14:paraId="29FA273C" w14:textId="77777777">
      <w:pPr>
        <w:rPr>
          <w:rFonts w:eastAsia="Calibri" w:cs="Times New Roman"/>
        </w:rPr>
      </w:pPr>
    </w:p>
    <w:p w:rsidR="00C14444" w:rsidRPr="002F663C" w:rsidP="002F663C" w14:paraId="7CBFF73F" w14:textId="77777777">
      <w:pPr>
        <w:rPr>
          <w:rFonts w:eastAsia="Calibri" w:cs="Times New Roman"/>
        </w:rPr>
      </w:pPr>
    </w:p>
    <w:p w:rsidR="002F663C" w:rsidRPr="002F663C" w:rsidP="002F663C" w14:paraId="6B7D180B"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Protecting Against National Security Threats to the Communications Supply Chain through the Equipment Authorization Program</w:t>
      </w:r>
    </w:p>
    <w:p w:rsidR="002F663C" w:rsidRPr="002F663C" w:rsidP="002F663C" w14:paraId="391052A9"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29EE56A1"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423FF031"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29773600" w14:textId="77777777" w:rsidTr="00E9471B">
        <w:tblPrEx>
          <w:tblW w:w="9049" w:type="dxa"/>
          <w:tblLayout w:type="fixed"/>
          <w:tblLook w:val="04A0"/>
        </w:tblPrEx>
        <w:tc>
          <w:tcPr>
            <w:tcW w:w="851" w:type="dxa"/>
          </w:tcPr>
          <w:p w:rsidR="002F663C" w:rsidRPr="00711F9C" w:rsidP="00C14444" w14:paraId="377E154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7B027CB5"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1EFFE473" w14:textId="77777777" w:rsidTr="00E9471B">
        <w:tblPrEx>
          <w:tblW w:w="9049" w:type="dxa"/>
          <w:tblLayout w:type="fixed"/>
          <w:tblLook w:val="04A0"/>
        </w:tblPrEx>
        <w:tc>
          <w:tcPr>
            <w:tcW w:w="851" w:type="dxa"/>
          </w:tcPr>
          <w:p w:rsidR="002F663C" w:rsidRPr="00711F9C" w:rsidP="00C14444" w14:paraId="5D5F566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D833E7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53B93AC6" w14:textId="77777777" w:rsidTr="00E9471B">
        <w:tblPrEx>
          <w:tblW w:w="9049" w:type="dxa"/>
          <w:tblLayout w:type="fixed"/>
          <w:tblLook w:val="04A0"/>
        </w:tblPrEx>
        <w:tc>
          <w:tcPr>
            <w:tcW w:w="851" w:type="dxa"/>
          </w:tcPr>
          <w:p w:rsidR="002F663C" w:rsidRPr="00711F9C" w:rsidP="00C14444" w14:paraId="59EBD05D"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46A56FA7"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11 September 2026</w:t>
            </w:r>
          </w:p>
        </w:tc>
      </w:tr>
      <w:tr w14:paraId="751930CE" w14:textId="77777777" w:rsidTr="00E9471B">
        <w:tblPrEx>
          <w:tblW w:w="9049" w:type="dxa"/>
          <w:tblLayout w:type="fixed"/>
          <w:tblLook w:val="04A0"/>
        </w:tblPrEx>
        <w:tc>
          <w:tcPr>
            <w:tcW w:w="851" w:type="dxa"/>
          </w:tcPr>
          <w:p w:rsidR="002F663C" w:rsidRPr="00711F9C" w:rsidP="00C14444" w14:paraId="0410A75C"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0DF11758"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13 October 2026</w:t>
            </w:r>
          </w:p>
        </w:tc>
      </w:tr>
      <w:tr w14:paraId="3A5EEB92" w14:textId="77777777" w:rsidTr="00E9471B">
        <w:tblPrEx>
          <w:tblW w:w="9049" w:type="dxa"/>
          <w:tblLayout w:type="fixed"/>
          <w:tblLook w:val="04A0"/>
        </w:tblPrEx>
        <w:tc>
          <w:tcPr>
            <w:tcW w:w="851" w:type="dxa"/>
          </w:tcPr>
          <w:p w:rsidR="002F663C" w:rsidRPr="00711F9C" w:rsidP="00C14444" w14:paraId="6272449F"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54BF7648"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50297EEC"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https://members.wto.org/crnattachments/2026/TBT/USA/final_measure/26_04795_00_e.pdf</w:t>
              </w:r>
            </w:hyperlink>
          </w:p>
          <w:p w:rsidR="002F663C" w:rsidRPr="002F663C" w:rsidP="00EB7B40" w14:paraId="62F70A9C" w14:textId="77777777">
            <w:pPr>
              <w:spacing w:before="120" w:after="120"/>
              <w:rPr>
                <w:rFonts w:eastAsia="Calibri" w:cs="Times New Roman"/>
              </w:rPr>
            </w:pPr>
            <w:hyperlink r:id="rId8" w:tgtFrame="_blank" w:history="1">
              <w:r w:rsidRPr="002F663C">
                <w:rPr>
                  <w:rFonts w:eastAsia="Calibri" w:cs="Times New Roman"/>
                  <w:color w:val="0000FF"/>
                  <w:u w:val="single"/>
                </w:rPr>
                <w:t>https://members.wto.org/crnattachments/2026/TBT/USA/final_measure/26_04795_01_e.pdf</w:t>
              </w:r>
            </w:hyperlink>
          </w:p>
        </w:tc>
      </w:tr>
      <w:tr w14:paraId="40A823D1" w14:textId="77777777" w:rsidTr="00E9471B">
        <w:tblPrEx>
          <w:tblW w:w="9049" w:type="dxa"/>
          <w:tblLayout w:type="fixed"/>
          <w:tblLook w:val="04A0"/>
        </w:tblPrEx>
        <w:tc>
          <w:tcPr>
            <w:tcW w:w="851" w:type="dxa"/>
          </w:tcPr>
          <w:p w:rsidR="002F663C" w:rsidRPr="00711F9C" w:rsidP="00C14444" w14:paraId="66802544"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5D228AC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1131DAEB"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553D682C" w14:textId="77777777" w:rsidTr="00E9471B">
        <w:tblPrEx>
          <w:tblW w:w="9049" w:type="dxa"/>
          <w:tblLayout w:type="fixed"/>
          <w:tblLook w:val="04A0"/>
        </w:tblPrEx>
        <w:tc>
          <w:tcPr>
            <w:tcW w:w="851" w:type="dxa"/>
          </w:tcPr>
          <w:p w:rsidR="002F663C" w:rsidRPr="00711F9C" w:rsidP="00C14444" w14:paraId="0D72D67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99AE017"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159376B3"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7AD3540D" w14:textId="77777777" w:rsidTr="00E9471B">
        <w:tblPrEx>
          <w:tblW w:w="9049" w:type="dxa"/>
          <w:tblLayout w:type="fixed"/>
          <w:tblLook w:val="04A0"/>
        </w:tblPrEx>
        <w:tc>
          <w:tcPr>
            <w:tcW w:w="851" w:type="dxa"/>
          </w:tcPr>
          <w:p w:rsidR="002F663C" w:rsidRPr="00711F9C" w:rsidP="00C14444" w14:paraId="2FD2543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32F4F7CD"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72787069" w14:textId="77777777" w:rsidTr="00E9471B">
        <w:tblPrEx>
          <w:tblW w:w="9049" w:type="dxa"/>
          <w:tblLayout w:type="fixed"/>
          <w:tblLook w:val="04A0"/>
        </w:tblPrEx>
        <w:tc>
          <w:tcPr>
            <w:tcW w:w="851" w:type="dxa"/>
            <w:tcBorders>
              <w:bottom w:val="double" w:sz="4" w:space="0" w:color="auto"/>
            </w:tcBorders>
          </w:tcPr>
          <w:p w:rsidR="002F663C" w:rsidRPr="00711F9C" w:rsidP="00C14444" w14:paraId="184C7C1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49418AD9"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117D5439" w14:textId="77777777">
      <w:pPr>
        <w:jc w:val="left"/>
        <w:rPr>
          <w:rFonts w:eastAsia="Calibri" w:cs="Times New Roman"/>
          <w:highlight w:val="yellow"/>
        </w:rPr>
      </w:pPr>
    </w:p>
    <w:p w:rsidR="003971FF" w:rsidRPr="007F6EA2" w:rsidP="00B16ACF" w14:paraId="1014CDBA"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In this document, the Federal Communications Commission (Commission or FCC) takes further steps to strengthen its equipment authorization program against national security risks to the communications supply chain. The Commission closes a component-part loophole by prohibiting authorization of devices that incorporate logic-bearing hardware components produced by an entity identified on the Commission's Covered List, where the device would itself be prohibited from authorization had the Covered List entity p</w:t>
      </w:r>
      <w:r w:rsidRPr="002F663C">
        <w:rPr>
          <w:rFonts w:eastAsia="Calibri" w:cs="Times New Roman"/>
          <w:szCs w:val="18"/>
        </w:rPr>
        <w:t xml:space="preserve">roduced the entire device. The Commission also requires that any modification or permissive change to equipment by an entity identified on the Covered List undergo full certification, clarifies that its marketing rules reach any entity (including online marketplaces) that markets unauthorized equipment, and requires online marketplaces, subject to limited exceptions, to display a device's FCC ID at the online point of sale. Finally, the </w:t>
      </w:r>
      <w:r w:rsidRPr="002F663C">
        <w:rPr>
          <w:rFonts w:eastAsia="Calibri" w:cs="Times New Roman"/>
          <w:szCs w:val="18"/>
        </w:rPr>
        <w:t>Commission amends its definition of ''critical infrastructure,'' as use</w:t>
      </w:r>
      <w:r w:rsidRPr="002F663C">
        <w:rPr>
          <w:rFonts w:eastAsia="Calibri" w:cs="Times New Roman"/>
          <w:szCs w:val="18"/>
        </w:rPr>
        <w:t>d on the Covered List, and corrects two administrative errors in its rules.</w:t>
      </w:r>
    </w:p>
    <w:p w:rsidR="00333314" w:rsidRPr="002F663C" w:rsidP="00B16ACF" w14:paraId="092502D5" w14:textId="77777777">
      <w:pPr>
        <w:spacing w:before="120" w:after="120"/>
        <w:rPr>
          <w:rFonts w:eastAsia="Calibri" w:cs="Times New Roman"/>
          <w:szCs w:val="18"/>
        </w:rPr>
      </w:pPr>
      <w:r w:rsidRPr="002F663C">
        <w:rPr>
          <w:rFonts w:eastAsia="Calibri" w:cs="Times New Roman"/>
          <w:szCs w:val="18"/>
        </w:rPr>
        <w:t>This final rule is effective 13 October 2026.</w:t>
      </w:r>
    </w:p>
    <w:p w:rsidR="00333314" w:rsidRPr="002F663C" w:rsidP="00B16ACF" w14:paraId="6BEA69F0" w14:textId="77777777">
      <w:pPr>
        <w:spacing w:before="120" w:after="120"/>
        <w:rPr>
          <w:rFonts w:eastAsia="Calibri" w:cs="Times New Roman"/>
          <w:szCs w:val="18"/>
        </w:rPr>
      </w:pPr>
      <w:r w:rsidRPr="002F663C">
        <w:rPr>
          <w:rFonts w:eastAsia="Calibri" w:cs="Times New Roman"/>
          <w:szCs w:val="18"/>
        </w:rPr>
        <w:t xml:space="preserve">91 Federal Register (FR) 57798, 11 September 2026, </w:t>
      </w:r>
      <w:hyperlink r:id="rId9" w:history="1">
        <w:r w:rsidRPr="002F663C">
          <w:rPr>
            <w:rFonts w:eastAsia="Calibri" w:cs="Times New Roman"/>
            <w:color w:val="0000FF"/>
            <w:szCs w:val="18"/>
            <w:u w:val="single"/>
          </w:rPr>
          <w:t>Title 47</w:t>
        </w:r>
      </w:hyperlink>
      <w:r w:rsidRPr="002F663C">
        <w:rPr>
          <w:rFonts w:eastAsia="Calibri" w:cs="Times New Roman"/>
          <w:szCs w:val="18"/>
        </w:rPr>
        <w:t xml:space="preserve"> Code of Federal Regulations (CFR) Parts </w:t>
      </w:r>
      <w:hyperlink r:id="rId10" w:history="1">
        <w:r w:rsidRPr="002F663C">
          <w:rPr>
            <w:rFonts w:eastAsia="Calibri" w:cs="Times New Roman"/>
            <w:color w:val="0000FF"/>
            <w:szCs w:val="18"/>
            <w:u w:val="single"/>
          </w:rPr>
          <w:t>1</w:t>
        </w:r>
      </w:hyperlink>
      <w:r w:rsidRPr="002F663C">
        <w:rPr>
          <w:rFonts w:eastAsia="Calibri" w:cs="Times New Roman"/>
          <w:szCs w:val="18"/>
        </w:rPr>
        <w:t xml:space="preserve"> and </w:t>
      </w:r>
      <w:hyperlink r:id="rId11" w:history="1">
        <w:r w:rsidRPr="002F663C">
          <w:rPr>
            <w:rFonts w:eastAsia="Calibri" w:cs="Times New Roman"/>
            <w:color w:val="0000FF"/>
            <w:szCs w:val="18"/>
            <w:u w:val="single"/>
          </w:rPr>
          <w:t>2</w:t>
        </w:r>
      </w:hyperlink>
      <w:r w:rsidRPr="002F663C">
        <w:rPr>
          <w:rFonts w:eastAsia="Calibri" w:cs="Times New Roman"/>
          <w:szCs w:val="18"/>
        </w:rPr>
        <w:t>:</w:t>
      </w:r>
    </w:p>
    <w:p w:rsidR="00333314" w:rsidRPr="002F663C" w:rsidP="00B16ACF" w14:paraId="1AEEFDBF" w14:textId="77777777">
      <w:pPr>
        <w:spacing w:before="120" w:after="120"/>
        <w:rPr>
          <w:rFonts w:eastAsia="Calibri" w:cs="Times New Roman"/>
          <w:szCs w:val="18"/>
        </w:rPr>
      </w:pPr>
      <w:hyperlink r:id="rId12" w:history="1">
        <w:r w:rsidRPr="002F663C">
          <w:rPr>
            <w:rFonts w:eastAsia="Calibri" w:cs="Times New Roman"/>
            <w:color w:val="0000FF"/>
            <w:szCs w:val="18"/>
            <w:u w:val="single"/>
          </w:rPr>
          <w:t>https://www.govinfo.gov/content/pkg/FR-2026-09-11/html/2026-18535.htm</w:t>
        </w:r>
      </w:hyperlink>
    </w:p>
    <w:p w:rsidR="00333314" w:rsidRPr="002F663C" w:rsidP="00B16ACF" w14:paraId="5D894F0B" w14:textId="77777777">
      <w:pPr>
        <w:spacing w:before="120" w:after="120"/>
        <w:rPr>
          <w:rFonts w:eastAsia="Calibri" w:cs="Times New Roman"/>
          <w:szCs w:val="18"/>
        </w:rPr>
      </w:pPr>
      <w:hyperlink r:id="rId13" w:history="1">
        <w:r w:rsidRPr="002F663C">
          <w:rPr>
            <w:rFonts w:eastAsia="Calibri" w:cs="Times New Roman"/>
            <w:color w:val="0000FF"/>
            <w:szCs w:val="18"/>
            <w:u w:val="single"/>
          </w:rPr>
          <w:t>https://www.govinfo.gov/content/pkg/FR-2026-09-11/pdf/2026-18535.pdf</w:t>
        </w:r>
      </w:hyperlink>
    </w:p>
    <w:p w:rsidR="00333314" w:rsidRPr="002F663C" w:rsidP="00B16ACF" w14:paraId="77AA3DD9" w14:textId="77777777">
      <w:pPr>
        <w:spacing w:before="120" w:after="120"/>
        <w:rPr>
          <w:rFonts w:eastAsia="Calibri" w:cs="Times New Roman"/>
          <w:szCs w:val="18"/>
        </w:rPr>
      </w:pPr>
      <w:hyperlink r:id="rId14" w:history="1">
        <w:r w:rsidRPr="002F663C">
          <w:rPr>
            <w:rFonts w:eastAsia="Calibri" w:cs="Times New Roman"/>
            <w:color w:val="0000FF"/>
            <w:szCs w:val="18"/>
            <w:u w:val="single"/>
          </w:rPr>
          <w:t>https://docs.fcc.gov/public/attachments/FCC-26-50A1.pdf</w:t>
        </w:r>
      </w:hyperlink>
    </w:p>
    <w:p w:rsidR="00333314" w:rsidRPr="002F663C" w:rsidP="00B16ACF" w14:paraId="59139A67" w14:textId="77777777">
      <w:pPr>
        <w:spacing w:before="120" w:after="120"/>
        <w:rPr>
          <w:rFonts w:eastAsia="Calibri" w:cs="Times New Roman"/>
          <w:szCs w:val="18"/>
        </w:rPr>
      </w:pPr>
      <w:r w:rsidRPr="002F663C">
        <w:rPr>
          <w:rFonts w:eastAsia="Calibri" w:cs="Times New Roman"/>
          <w:szCs w:val="18"/>
        </w:rPr>
        <w:t xml:space="preserve">This final rule and the proposed rule notified as </w:t>
      </w:r>
      <w:hyperlink r:id="rId15" w:history="1">
        <w:r w:rsidRPr="002F663C">
          <w:rPr>
            <w:rFonts w:eastAsia="Calibri" w:cs="Times New Roman"/>
            <w:color w:val="0000FF"/>
            <w:szCs w:val="18"/>
            <w:u w:val="single"/>
          </w:rPr>
          <w:t>G/TBT/N/USA/1771/Rev.3</w:t>
        </w:r>
      </w:hyperlink>
      <w:r w:rsidRPr="002F663C">
        <w:rPr>
          <w:rFonts w:eastAsia="Calibri" w:cs="Times New Roman"/>
          <w:szCs w:val="18"/>
        </w:rPr>
        <w:t xml:space="preserve"> are identified by </w:t>
      </w:r>
      <w:hyperlink r:id="rId16" w:history="1">
        <w:r w:rsidRPr="002F663C">
          <w:rPr>
            <w:rFonts w:eastAsia="Calibri" w:cs="Times New Roman"/>
            <w:color w:val="0000FF"/>
            <w:szCs w:val="18"/>
            <w:u w:val="single"/>
          </w:rPr>
          <w:t>ET Docket No. 21-232</w:t>
        </w:r>
      </w:hyperlink>
      <w:r w:rsidRPr="002F663C">
        <w:rPr>
          <w:rFonts w:eastAsia="Calibri" w:cs="Times New Roman"/>
          <w:szCs w:val="18"/>
        </w:rPr>
        <w:t xml:space="preserve">; </w:t>
      </w:r>
      <w:hyperlink r:id="rId17" w:history="1">
        <w:r w:rsidRPr="002F663C">
          <w:rPr>
            <w:rFonts w:eastAsia="Calibri" w:cs="Times New Roman"/>
            <w:color w:val="0000FF"/>
            <w:szCs w:val="18"/>
            <w:u w:val="single"/>
          </w:rPr>
          <w:t>FCC 26-50</w:t>
        </w:r>
      </w:hyperlink>
      <w:r w:rsidRPr="002F663C">
        <w:rPr>
          <w:rFonts w:eastAsia="Calibri" w:cs="Times New Roman"/>
          <w:szCs w:val="18"/>
        </w:rPr>
        <w:t xml:space="preserve">. The full text of the final rule is available from the Commission's website at </w:t>
      </w:r>
      <w:hyperlink r:id="rId14" w:history="1">
        <w:r w:rsidRPr="002F663C">
          <w:rPr>
            <w:rFonts w:eastAsia="Calibri" w:cs="Times New Roman"/>
            <w:color w:val="0000FF"/>
            <w:szCs w:val="18"/>
            <w:u w:val="single"/>
          </w:rPr>
          <w:t>https://docs.fcc.gov/public/attachments/FCC-26-50A1.pdf</w:t>
        </w:r>
      </w:hyperlink>
      <w:r w:rsidRPr="002F663C">
        <w:rPr>
          <w:rFonts w:eastAsia="Calibri" w:cs="Times New Roman"/>
          <w:szCs w:val="18"/>
        </w:rPr>
        <w:t>. Documents are also accessible from the FCC's Electronic Document Management System (</w:t>
      </w:r>
      <w:hyperlink r:id="rId18" w:history="1">
        <w:r w:rsidRPr="002F663C">
          <w:rPr>
            <w:rFonts w:eastAsia="Calibri" w:cs="Times New Roman"/>
            <w:color w:val="0000FF"/>
            <w:szCs w:val="18"/>
            <w:u w:val="single"/>
          </w:rPr>
          <w:t>EDOCS</w:t>
        </w:r>
      </w:hyperlink>
      <w:r w:rsidRPr="002F663C">
        <w:rPr>
          <w:rFonts w:eastAsia="Calibri" w:cs="Times New Roman"/>
          <w:szCs w:val="18"/>
        </w:rPr>
        <w:t xml:space="preserve">) by searching the ET Docket Number. Comments "filings" and Commission documents are accessible from the FCC's Electronic Comment Filing System (ECFS) </w:t>
      </w:r>
      <w:hyperlink r:id="rId19" w:history="1">
        <w:r w:rsidRPr="002F663C">
          <w:rPr>
            <w:rFonts w:eastAsia="Calibri" w:cs="Times New Roman"/>
            <w:color w:val="0000FF"/>
            <w:szCs w:val="18"/>
            <w:u w:val="single"/>
          </w:rPr>
          <w:t>https://www.fcc.gov/ecfs/search/search-filings/results?q=(proceedings.name:(%2221-232%22))</w:t>
        </w:r>
      </w:hyperlink>
      <w:r w:rsidRPr="002F663C">
        <w:rPr>
          <w:rFonts w:eastAsia="Calibri" w:cs="Times New Roman"/>
          <w:szCs w:val="18"/>
        </w:rPr>
        <w:t>.</w:t>
      </w:r>
    </w:p>
    <w:p w:rsidR="006C5A96" w:rsidP="006C5A96" w14:paraId="601742E6" w14:textId="77777777">
      <w:pPr>
        <w:jc w:val="center"/>
        <w:rPr>
          <w:b/>
        </w:rPr>
      </w:pPr>
      <w:r w:rsidRPr="003971FF">
        <w:rPr>
          <w:b/>
        </w:rPr>
        <w:t>__________</w:t>
      </w:r>
    </w:p>
    <w:p w:rsidR="004D4D19" w:rsidP="007F38C2" w14:paraId="776E5774" w14:textId="77777777">
      <w:pPr>
        <w:jc w:val="center"/>
        <w:rPr>
          <w:b/>
        </w:rPr>
      </w:pPr>
    </w:p>
    <w:p w:rsidR="00A1565D" w:rsidP="003971FF" w14:paraId="5F1DFE8A" w14:textId="77777777">
      <w:pPr>
        <w:jc w:val="center"/>
        <w:rPr>
          <w:b/>
        </w:rPr>
      </w:pPr>
    </w:p>
    <w:sectPr w:rsidSect="006C5A96">
      <w:headerReference w:type="even" r:id="rId20"/>
      <w:headerReference w:type="default" r:id="rId21"/>
      <w:footerReference w:type="even" r:id="rId22"/>
      <w:footerReference w:type="default" r:id="rId23"/>
      <w:headerReference w:type="first" r:id="rId24"/>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4B9BC92"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AC617DB"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E1014" w:rsidP="00ED54E0" w14:paraId="70A692AC" w14:textId="77777777">
      <w:r>
        <w:separator/>
      </w:r>
    </w:p>
  </w:footnote>
  <w:footnote w:type="continuationSeparator" w:id="1">
    <w:p w:rsidR="006E1014" w:rsidP="00ED54E0" w14:paraId="13116ED3" w14:textId="77777777">
      <w:r>
        <w:continuationSeparator/>
      </w:r>
    </w:p>
  </w:footnote>
  <w:footnote w:id="2">
    <w:p w:rsidR="007F6EA2" w14:paraId="22777BD7"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4504E727"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68249849" w14:textId="77777777">
    <w:pPr>
      <w:pStyle w:val="Header"/>
      <w:pBdr>
        <w:bottom w:val="single" w:sz="4" w:space="1" w:color="auto"/>
      </w:pBdr>
      <w:tabs>
        <w:tab w:val="clear" w:pos="4513"/>
        <w:tab w:val="clear" w:pos="9027"/>
      </w:tabs>
      <w:jc w:val="center"/>
    </w:pPr>
  </w:p>
  <w:p w:rsidR="00DD3DD7" w:rsidRPr="00DD3DD7" w:rsidP="00DD3DD7" w14:paraId="5EF30F8B"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2DA83E5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110F4B16" w14:textId="77777777">
    <w:pPr>
      <w:pStyle w:val="Header"/>
      <w:pBdr>
        <w:bottom w:val="single" w:sz="4" w:space="1" w:color="auto"/>
      </w:pBdr>
      <w:tabs>
        <w:tab w:val="clear" w:pos="4513"/>
        <w:tab w:val="clear" w:pos="9027"/>
      </w:tabs>
      <w:jc w:val="center"/>
    </w:pPr>
    <w:bookmarkStart w:id="3" w:name="spsSymbolHeader"/>
    <w:r w:rsidRPr="00DD3DD7">
      <w:t>G/TBT/N/USA/1771/Rev.3/Add.1</w:t>
    </w:r>
    <w:bookmarkEnd w:id="3"/>
  </w:p>
  <w:p w:rsidR="00DD3DD7" w:rsidRPr="00DD3DD7" w:rsidP="00DD3DD7" w14:paraId="12C050C1" w14:textId="77777777">
    <w:pPr>
      <w:pStyle w:val="Header"/>
      <w:pBdr>
        <w:bottom w:val="single" w:sz="4" w:space="1" w:color="auto"/>
      </w:pBdr>
      <w:tabs>
        <w:tab w:val="clear" w:pos="4513"/>
        <w:tab w:val="clear" w:pos="9027"/>
      </w:tabs>
      <w:jc w:val="center"/>
    </w:pPr>
  </w:p>
  <w:p w:rsidR="00DD3DD7" w:rsidRPr="00DD3DD7" w:rsidP="00DD3DD7" w14:paraId="76E6B3B5"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0B891E6B"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009547B"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2E509779"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64CFB96C" w14:textId="77777777">
          <w:pPr>
            <w:jc w:val="right"/>
            <w:rPr>
              <w:b/>
              <w:color w:val="FF0000"/>
              <w:szCs w:val="16"/>
            </w:rPr>
          </w:pPr>
          <w:r>
            <w:rPr>
              <w:b/>
              <w:color w:val="FF0000"/>
              <w:szCs w:val="16"/>
            </w:rPr>
            <w:t xml:space="preserve"> </w:t>
          </w:r>
        </w:p>
      </w:tc>
    </w:tr>
    <w:tr w14:paraId="46A4F699"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50FAA9E8"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3B54FE1A" w14:textId="77777777">
          <w:pPr>
            <w:jc w:val="right"/>
            <w:rPr>
              <w:b/>
              <w:szCs w:val="16"/>
            </w:rPr>
          </w:pPr>
        </w:p>
      </w:tc>
    </w:tr>
    <w:tr w14:paraId="44A919F9"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41952C8A"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12DA85A0" w14:textId="77777777">
          <w:pPr>
            <w:jc w:val="right"/>
            <w:rPr>
              <w:rFonts w:eastAsia="Calibri" w:cs="Times New Roman"/>
              <w:b/>
              <w:szCs w:val="16"/>
            </w:rPr>
          </w:pPr>
          <w:bookmarkStart w:id="4" w:name="bmkSymbols"/>
          <w:r w:rsidRPr="002F663C">
            <w:rPr>
              <w:rFonts w:eastAsia="Calibri" w:cs="Times New Roman"/>
              <w:b/>
              <w:szCs w:val="16"/>
            </w:rPr>
            <w:t>G/TBT/N/USA/1771/Rev.3/Add.1</w:t>
          </w:r>
          <w:bookmarkEnd w:id="4"/>
        </w:p>
        <w:p w:rsidR="00C14444" w:rsidRPr="00C14444" w:rsidP="00C14444" w14:paraId="6444F648" w14:textId="77777777">
          <w:pPr>
            <w:jc w:val="center"/>
            <w:rPr>
              <w:szCs w:val="16"/>
            </w:rPr>
          </w:pPr>
        </w:p>
      </w:tc>
    </w:tr>
    <w:tr w14:paraId="6F9ABE77"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26563BED" w14:textId="77777777"/>
      </w:tc>
      <w:tc>
        <w:tcPr>
          <w:tcW w:w="5448" w:type="dxa"/>
          <w:gridSpan w:val="2"/>
          <w:shd w:val="clear" w:color="auto" w:fill="FFFFFF"/>
          <w:tcMar>
            <w:left w:w="108" w:type="dxa"/>
            <w:right w:w="108" w:type="dxa"/>
          </w:tcMar>
          <w:vAlign w:val="center"/>
        </w:tcPr>
        <w:p w:rsidR="00ED54E0" w:rsidRPr="00182B84" w:rsidP="00425DC5" w14:paraId="5545BE1A" w14:textId="77777777">
          <w:pPr>
            <w:jc w:val="right"/>
            <w:rPr>
              <w:szCs w:val="16"/>
            </w:rPr>
          </w:pPr>
          <w:bookmarkStart w:id="5" w:name="bmkDate"/>
          <w:r w:rsidRPr="00182B84">
            <w:rPr>
              <w:szCs w:val="16"/>
            </w:rPr>
            <w:t>15 September 2026</w:t>
          </w:r>
          <w:bookmarkEnd w:id="5"/>
        </w:p>
      </w:tc>
    </w:tr>
    <w:tr w14:paraId="49617B72"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1E89BEF6" w14:textId="77777777">
          <w:pPr>
            <w:jc w:val="left"/>
            <w:rPr>
              <w:b/>
            </w:rPr>
          </w:pPr>
          <w:bookmarkStart w:id="6" w:name="bmkSerial"/>
          <w:r>
            <w:rPr>
              <w:rFonts w:ascii="Verdana" w:eastAsia="Verdana" w:hAnsi="Verdana" w:cs="Verdana"/>
              <w:b w:val="0"/>
              <w:color w:val="FF0000"/>
              <w:sz w:val="18"/>
            </w:rPr>
            <w:t>(26-6315)</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256FB437"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436925B0"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3BC9999C"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4016BD4E"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33D7AE4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84126026">
    <w:abstractNumId w:val="9"/>
  </w:num>
  <w:num w:numId="2" w16cid:durableId="1064569521">
    <w:abstractNumId w:val="7"/>
  </w:num>
  <w:num w:numId="3" w16cid:durableId="291135724">
    <w:abstractNumId w:val="6"/>
  </w:num>
  <w:num w:numId="4" w16cid:durableId="1457944890">
    <w:abstractNumId w:val="5"/>
  </w:num>
  <w:num w:numId="5" w16cid:durableId="440147057">
    <w:abstractNumId w:val="4"/>
  </w:num>
  <w:num w:numId="6" w16cid:durableId="210266826">
    <w:abstractNumId w:val="12"/>
  </w:num>
  <w:num w:numId="7" w16cid:durableId="594291613">
    <w:abstractNumId w:val="11"/>
  </w:num>
  <w:num w:numId="8" w16cid:durableId="569391856">
    <w:abstractNumId w:val="10"/>
  </w:num>
  <w:num w:numId="9" w16cid:durableId="6314469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50363625">
    <w:abstractNumId w:val="13"/>
  </w:num>
  <w:num w:numId="11" w16cid:durableId="1427463535">
    <w:abstractNumId w:val="8"/>
  </w:num>
  <w:num w:numId="12" w16cid:durableId="130292233">
    <w:abstractNumId w:val="3"/>
  </w:num>
  <w:num w:numId="13" w16cid:durableId="1242790127">
    <w:abstractNumId w:val="2"/>
  </w:num>
  <w:num w:numId="14" w16cid:durableId="718013819">
    <w:abstractNumId w:val="1"/>
  </w:num>
  <w:num w:numId="15" w16cid:durableId="537278001">
    <w:abstractNumId w:val="0"/>
  </w:num>
  <w:num w:numId="16" w16cid:durableId="680937511">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E0D5C"/>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3314"/>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1014"/>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5AE"/>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0C89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cfr.gov/current/title-47/chapter-I/subchapter-A/part-1" TargetMode="External" /><Relationship Id="rId11" Type="http://schemas.openxmlformats.org/officeDocument/2006/relationships/hyperlink" Target="https://www.ecfr.gov/current/title-47/chapter-I/subchapter-A/part-2" TargetMode="External" /><Relationship Id="rId12" Type="http://schemas.openxmlformats.org/officeDocument/2006/relationships/hyperlink" Target="https://www.govinfo.gov/content/pkg/FR-2026-09-11/html/2026-18535.htm" TargetMode="External" /><Relationship Id="rId13" Type="http://schemas.openxmlformats.org/officeDocument/2006/relationships/hyperlink" Target="https://www.govinfo.gov/content/pkg/FR-2026-09-11/pdf/2026-18535.pdf" TargetMode="External" /><Relationship Id="rId14" Type="http://schemas.openxmlformats.org/officeDocument/2006/relationships/hyperlink" Target="https://docs.fcc.gov/public/attachments/FCC-26-50A1.pdf" TargetMode="External" /><Relationship Id="rId15" Type="http://schemas.openxmlformats.org/officeDocument/2006/relationships/hyperlink" Target="https://eping.wto.org/en/Search?domainIds=1&amp;documentSymbol=USA%2F1771%2FRev.3" TargetMode="External" /><Relationship Id="rId16" Type="http://schemas.openxmlformats.org/officeDocument/2006/relationships/hyperlink" Target="https://www.fcc.gov/edocs/search-results?t=quick&amp;dockets=21-232" TargetMode="External" /><Relationship Id="rId17" Type="http://schemas.openxmlformats.org/officeDocument/2006/relationships/hyperlink" Target="https://www.fcc.gov/edocs/search-results?t=quick&amp;fccdaNo=26-50" TargetMode="External" /><Relationship Id="rId18" Type="http://schemas.openxmlformats.org/officeDocument/2006/relationships/hyperlink" Target="https://www.fcc.gov/edocs" TargetMode="External" /><Relationship Id="rId19" Type="http://schemas.openxmlformats.org/officeDocument/2006/relationships/hyperlink" Target="https://www.fcc.gov/ecfs/search/search-filings/results?q=(proceedings.name:(%2221-232%22))" TargetMode="External" /><Relationship Id="rId2" Type="http://schemas.openxmlformats.org/officeDocument/2006/relationships/settings" Target="settings.xml" /><Relationship Id="rId20" Type="http://schemas.openxmlformats.org/officeDocument/2006/relationships/header" Target="header1.xml" /><Relationship Id="rId21" Type="http://schemas.openxmlformats.org/officeDocument/2006/relationships/header" Target="header2.xml" /><Relationship Id="rId22" Type="http://schemas.openxmlformats.org/officeDocument/2006/relationships/footer" Target="footer1.xml" /><Relationship Id="rId23" Type="http://schemas.openxmlformats.org/officeDocument/2006/relationships/footer" Target="footer2.xml" /><Relationship Id="rId24" Type="http://schemas.openxmlformats.org/officeDocument/2006/relationships/header" Target="header3.xml"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6/TBT/USA/final_measure/26_04795_00_e.pdf" TargetMode="External" /><Relationship Id="rId8" Type="http://schemas.openxmlformats.org/officeDocument/2006/relationships/hyperlink" Target="https://members.wto.org/crnattachments/2026/TBT/USA/final_measure/26_04795_01_e.pdf" TargetMode="External" /><Relationship Id="rId9" Type="http://schemas.openxmlformats.org/officeDocument/2006/relationships/hyperlink" Target="https://www.ecfr.gov/current/title-47"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5318930F-988B-4756-890D-42D52AAACE3D}">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641</Words>
  <Characters>3655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2026-09-15T08:09:00Z</dcterms:created>
  <dcterms:modified xsi:type="dcterms:W3CDTF">2026-09-15T08:09:00Z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INTERNAL</vt:lpwstr>
  </property>
</Properties>
</file>