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0887183F" w14:textId="77777777">
      <w:pPr>
        <w:pStyle w:val="Title"/>
      </w:pPr>
      <w:r w:rsidRPr="00EF68C9">
        <w:t>NOTIFICACIÓN</w:t>
      </w:r>
    </w:p>
    <w:p w:rsidR="002F663C" w:rsidRPr="00EF68C9" w:rsidP="00D31A79" w14:paraId="41B9DAA4" w14:textId="77777777">
      <w:pPr>
        <w:pStyle w:val="Title3"/>
      </w:pPr>
      <w:r w:rsidRPr="00EF68C9">
        <w:t>Addendum</w:t>
      </w:r>
    </w:p>
    <w:p w:rsidR="002F663C" w:rsidP="00B22706" w14:paraId="1205906F" w14:textId="77777777">
      <w:r w:rsidRPr="00EF68C9">
        <w:t>La siguiente comunicación, de fecha 11 de septiembre de 2026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7A82B768" w14:textId="77777777">
      <w:pPr>
        <w:rPr>
          <w:rFonts w:eastAsia="Calibri" w:cs="Times New Roman"/>
        </w:rPr>
      </w:pPr>
    </w:p>
    <w:p w:rsidR="002F663C" w:rsidRPr="00EF68C9" w:rsidP="00EF68C9" w14:paraId="03C2FCC2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6A674836" w14:textId="77777777"/>
    <w:p w:rsidR="00B22706" w:rsidRPr="00EF68C9" w:rsidP="00EF68C9" w14:paraId="174A2021" w14:textId="77777777"/>
    <w:p w:rsidR="002F663C" w:rsidRPr="00EF68C9" w:rsidP="00EF68C9" w14:paraId="11BF43AB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RTCA 23.01.80:21 Productos Eléctricos. Acondicionadores de aire tipo dividido, descarga libre y sin ductos de aire. Especificaciones de eficiencia energética.</w:t>
      </w:r>
    </w:p>
    <w:p w:rsidR="002F663C" w:rsidRPr="00EF68C9" w:rsidP="00EF68C9" w14:paraId="7193BB01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231C0A23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4B7A04E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341ECD5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5BD94D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5504CC4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1C987C8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CB93A6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901940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4E9B636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0EE126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684588B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6079ED4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A41F8E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FF5B6F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6DFF336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091008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442BDE" w14:paraId="15CD3FCA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7E14E393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  <w:p w:rsidR="002F663C" w:rsidRPr="00EF68C9" w:rsidP="00442BDE" w14:paraId="026B6B47" w14:textId="77777777">
            <w:pPr>
              <w:spacing w:before="120" w:after="120"/>
            </w:pPr>
            <w:hyperlink r:id="rId8" w:tgtFrame="_blank" w:history="1">
              <w:r w:rsidRPr="00EF68C9">
                <w:rPr>
                  <w:color w:val="0000FF"/>
                  <w:u w:val="single"/>
                </w:rPr>
                <w:t>https://members.wto.org/crnattachments/2026/TBT/CRI/final_measure/26_04767_00_s.pdf</w:t>
              </w:r>
            </w:hyperlink>
          </w:p>
        </w:tc>
      </w:tr>
      <w:tr w14:paraId="307FAE3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2648BA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164E794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B8FA37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69E673F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D4AD8C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2B6B4CF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4E74978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10E5D07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48FC3EC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1000FC90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0EC7786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5B7C43B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493FC549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2E8065A0" w14:textId="77777777">
            <w:pPr>
              <w:spacing w:before="120" w:after="120"/>
            </w:pPr>
            <w:r>
              <w:t>Equivalencia normativa Resolución 0031-2026-DE</w:t>
            </w:r>
          </w:p>
        </w:tc>
      </w:tr>
    </w:tbl>
    <w:p w:rsidR="002F663C" w:rsidRPr="00EF68C9" w:rsidP="00EF68C9" w14:paraId="1561DF22" w14:textId="77777777"/>
    <w:p w:rsidR="003918E9" w:rsidRPr="00F95856" w:rsidP="00B03883" w14:paraId="66B9D02D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Con fundamento en el Decreto Ejecutivo N° 44964-MINAE, Reglamento Complementario para la Aplicación del RTCA 23.01.80:21 "Productos Eléctricos. Acondicionadores de Aire Tipo Dividido de Velocidad Fija, Descarga Libre y sin Ductos de Aire. Especificaciones de Eficiencia Energética", y el Decreto Ejecutivo N° 44016-COMEX-MEIC-MINAE, que publica la Resolución N° 468-2022 (COMIECO-CII) de fecha 02/12/2022 y su Anexo, y lo dispuesto en el considerando primero de la presente resolución, se otorga la equivalencia para la norma "NOM-023-</w:t>
      </w:r>
      <w:r w:rsidRPr="00EF68C9" w:rsidR="00EF68C9">
        <w:t>ENER-2018, Eficiencia energética en acondicionadores de aire tipo dividido, descarga libre y sin conductos de aire. Límites, métodos de prueba y etiquetado", junto con los valores del certificado ANC2501C00014407, con el RTCA 23.01.80:21, exclusivamente para los equipos incluidos en el Anexo A del criterio EQ 53-2026.</w:t>
      </w:r>
    </w:p>
    <w:p w:rsidR="00D60927" w:rsidRPr="00B22706" w:rsidP="003918E9" w14:paraId="01742A5D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8FD6AA7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5794EA9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50013CF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05703" w:rsidRPr="00EF68C9" w:rsidP="00ED54E0" w14:paraId="64CB61D7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205703" w:rsidRPr="00EF68C9" w:rsidP="00ED54E0" w14:paraId="580B816D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39575F5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11CC4F0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37BBFF8F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594F78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G/TBT/N/CRI/192/Add.1</w:t>
    </w:r>
    <w:bookmarkEnd w:id="7"/>
  </w:p>
  <w:p w:rsidR="00470C19" w:rsidP="00583508" w14:paraId="58C8ED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2F5CD0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65419922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6F510826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12B28268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0971D71A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209CA6E3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34BB1DC5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76D3A6F0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6F55AD53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44E741C9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G/TBT/N/CRI/192/Add.1</w:t>
          </w:r>
          <w:bookmarkEnd w:id="16"/>
        </w:p>
      </w:tc>
    </w:tr>
    <w:tr w14:paraId="39B436D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30B84D1C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2972F1D5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14 de septiembre de 2026</w:t>
          </w:r>
          <w:bookmarkEnd w:id="17"/>
        </w:p>
      </w:tc>
    </w:tr>
    <w:tr w14:paraId="07483CB0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1A9CF38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(26-6266)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A7F78BF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1A050161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794CE4CE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15F2ADDF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4D12B70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5793692">
    <w:abstractNumId w:val="9"/>
  </w:num>
  <w:num w:numId="2" w16cid:durableId="240718557">
    <w:abstractNumId w:val="7"/>
  </w:num>
  <w:num w:numId="3" w16cid:durableId="141238526">
    <w:abstractNumId w:val="6"/>
  </w:num>
  <w:num w:numId="4" w16cid:durableId="505100202">
    <w:abstractNumId w:val="5"/>
  </w:num>
  <w:num w:numId="5" w16cid:durableId="716859150">
    <w:abstractNumId w:val="4"/>
  </w:num>
  <w:num w:numId="6" w16cid:durableId="301740911">
    <w:abstractNumId w:val="12"/>
  </w:num>
  <w:num w:numId="7" w16cid:durableId="791166359">
    <w:abstractNumId w:val="11"/>
  </w:num>
  <w:num w:numId="8" w16cid:durableId="123426817">
    <w:abstractNumId w:val="10"/>
  </w:num>
  <w:num w:numId="9" w16cid:durableId="20334546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268734">
    <w:abstractNumId w:val="13"/>
  </w:num>
  <w:num w:numId="11" w16cid:durableId="1260140142">
    <w:abstractNumId w:val="8"/>
  </w:num>
  <w:num w:numId="12" w16cid:durableId="553976451">
    <w:abstractNumId w:val="3"/>
  </w:num>
  <w:num w:numId="13" w16cid:durableId="385640974">
    <w:abstractNumId w:val="2"/>
  </w:num>
  <w:num w:numId="14" w16cid:durableId="1586645617">
    <w:abstractNumId w:val="1"/>
  </w:num>
  <w:num w:numId="15" w16cid:durableId="1722556225">
    <w:abstractNumId w:val="0"/>
  </w:num>
  <w:num w:numId="16" w16cid:durableId="708341041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274BD"/>
    <w:rsid w:val="0013337F"/>
    <w:rsid w:val="00175BCF"/>
    <w:rsid w:val="00175DD6"/>
    <w:rsid w:val="00182B84"/>
    <w:rsid w:val="00183601"/>
    <w:rsid w:val="001D319B"/>
    <w:rsid w:val="001E291F"/>
    <w:rsid w:val="00205703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435B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67672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34D3A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96C42"/>
    <w:rsid w:val="00BB1341"/>
    <w:rsid w:val="00BB1F84"/>
    <w:rsid w:val="00BC1D7E"/>
    <w:rsid w:val="00BE5468"/>
    <w:rsid w:val="00BE5B79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B75AE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886731"/>
  <w15:docId w15:val="{704008E4-9BF0-4F15-A065-159F08B00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meic.go.cr/tramites-y-servicios/reglatec/" TargetMode="External" /><Relationship Id="rId8" Type="http://schemas.openxmlformats.org/officeDocument/2006/relationships/hyperlink" Target="https://members.wto.org/crnattachments/2026/TBT/CRI/final_measure/26_04767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7E7D4-CAFC-4632-907D-2EE1D2FD47E3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2026-09-14T10:13:00Z</dcterms:created>
  <dcterms:modified xsi:type="dcterms:W3CDTF">2026-09-14T10:21:00Z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