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2F6A5C8" w14:textId="77777777">
      <w:pPr>
        <w:pStyle w:val="Title"/>
        <w:rPr>
          <w:caps w:val="0"/>
          <w:kern w:val="0"/>
        </w:rPr>
      </w:pPr>
      <w:r w:rsidRPr="009D0EBF">
        <w:rPr>
          <w:caps w:val="0"/>
          <w:kern w:val="0"/>
        </w:rPr>
        <w:t>NOTIFICATION</w:t>
      </w:r>
    </w:p>
    <w:p w:rsidR="00D90ADD" w:rsidRPr="009D0EBF" w:rsidP="009D0EBF" w14:paraId="3B42C764" w14:textId="77777777">
      <w:pPr>
        <w:pStyle w:val="Title3"/>
      </w:pPr>
      <w:r w:rsidRPr="009D0EBF">
        <w:t>Revision</w:t>
      </w:r>
    </w:p>
    <w:p w:rsidR="00D90ADD" w:rsidRPr="009D0EBF" w:rsidP="009D0EBF" w14:paraId="0BE82A16" w14:textId="77777777">
      <w:pPr>
        <w:jc w:val="center"/>
      </w:pPr>
      <w:r w:rsidRPr="009D0EBF">
        <w:t>The following notification is being circulated in accordance with Article 10.6.</w:t>
      </w:r>
    </w:p>
    <w:p w:rsidR="00D90ADD" w:rsidRPr="009D0EBF" w:rsidP="009D0EBF" w14:paraId="64A350E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796157AD" w14:textId="77777777" w:rsidTr="00A00801">
        <w:tblPrEx>
          <w:tblW w:w="5000" w:type="pct"/>
          <w:tblLayout w:type="fixed"/>
          <w:tblLook w:val="0000"/>
        </w:tblPrEx>
        <w:tc>
          <w:tcPr>
            <w:tcW w:w="338" w:type="pct"/>
            <w:tcBorders>
              <w:top w:val="double" w:sz="4" w:space="0" w:color="auto"/>
            </w:tcBorders>
          </w:tcPr>
          <w:p w:rsidR="004C341F" w:rsidRPr="009D0EBF" w:rsidP="009D0EBF" w14:paraId="68638F9F"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E89C192" w14:textId="77777777">
            <w:pPr>
              <w:spacing w:before="120" w:after="120"/>
            </w:pPr>
            <w:r w:rsidRPr="009D0EBF">
              <w:rPr>
                <w:b/>
              </w:rPr>
              <w:t>Notifying Member:</w:t>
            </w:r>
            <w:r w:rsidRPr="008C0973" w:rsidR="004B48EF">
              <w:rPr>
                <w:bCs/>
              </w:rPr>
              <w:t xml:space="preserve"> </w:t>
            </w:r>
            <w:r w:rsidRPr="008C0973" w:rsidR="004B48EF">
              <w:rPr>
                <w:bCs/>
                <w:u w:val="single"/>
              </w:rPr>
              <w:t>CANADA</w:t>
            </w:r>
          </w:p>
          <w:p w:rsidR="004C341F" w:rsidRPr="009D0EBF" w:rsidP="009D0EBF" w14:paraId="15D3CCB7" w14:textId="77777777">
            <w:pPr>
              <w:spacing w:after="120"/>
            </w:pPr>
            <w:r w:rsidRPr="009D0EBF">
              <w:rPr>
                <w:b/>
              </w:rPr>
              <w:t>If applicable, name of local government involved (Articles 3.2 and 7.2):</w:t>
            </w:r>
            <w:r w:rsidRPr="009D0EBF" w:rsidR="004B48EF">
              <w:t xml:space="preserve"> </w:t>
            </w:r>
          </w:p>
        </w:tc>
      </w:tr>
      <w:tr w14:paraId="5D6D1B3F" w14:textId="77777777" w:rsidTr="00A00801">
        <w:tblPrEx>
          <w:tblW w:w="5000" w:type="pct"/>
          <w:tblLayout w:type="fixed"/>
          <w:tblLook w:val="0000"/>
        </w:tblPrEx>
        <w:tc>
          <w:tcPr>
            <w:tcW w:w="338" w:type="pct"/>
          </w:tcPr>
          <w:p w:rsidR="004C341F" w:rsidRPr="009D0EBF" w:rsidP="009D0EBF" w14:paraId="266D87D4" w14:textId="77777777">
            <w:pPr>
              <w:spacing w:before="120" w:after="120"/>
              <w:jc w:val="center"/>
            </w:pPr>
            <w:r w:rsidRPr="009D0EBF">
              <w:rPr>
                <w:b/>
              </w:rPr>
              <w:t>2.</w:t>
            </w:r>
          </w:p>
        </w:tc>
        <w:tc>
          <w:tcPr>
            <w:tcW w:w="4662" w:type="pct"/>
          </w:tcPr>
          <w:p w:rsidR="004C341F" w:rsidRPr="009D0EBF" w:rsidP="00324BA8" w14:paraId="53008CC8" w14:textId="77777777">
            <w:pPr>
              <w:spacing w:before="120" w:after="120"/>
            </w:pPr>
            <w:r w:rsidRPr="009D0EBF">
              <w:rPr>
                <w:b/>
              </w:rPr>
              <w:t>Agency responsible:</w:t>
            </w:r>
            <w:r w:rsidRPr="009D0EBF" w:rsidR="004B48EF">
              <w:t xml:space="preserve"> </w:t>
            </w:r>
          </w:p>
          <w:p w:rsidR="004B48EF" w:rsidRPr="009D0EBF" w:rsidP="00324BA8" w14:paraId="5725BA68" w14:textId="77777777">
            <w:pPr>
              <w:spacing w:after="120"/>
            </w:pPr>
            <w:r w:rsidRPr="009D0EBF">
              <w:t>Department of the Environment</w:t>
            </w:r>
          </w:p>
        </w:tc>
      </w:tr>
      <w:tr w14:paraId="0492A10E" w14:textId="77777777" w:rsidTr="00A00801">
        <w:tblPrEx>
          <w:tblW w:w="5000" w:type="pct"/>
          <w:tblLayout w:type="fixed"/>
          <w:tblLook w:val="0000"/>
        </w:tblPrEx>
        <w:tc>
          <w:tcPr>
            <w:tcW w:w="338" w:type="pct"/>
          </w:tcPr>
          <w:p w:rsidR="004C341F" w:rsidRPr="009D0EBF" w:rsidP="009D0EBF" w14:paraId="3DBB1634" w14:textId="77777777">
            <w:pPr>
              <w:spacing w:before="120" w:after="120"/>
              <w:jc w:val="center"/>
              <w:rPr>
                <w:b/>
              </w:rPr>
            </w:pPr>
            <w:r w:rsidRPr="009D0EBF">
              <w:rPr>
                <w:b/>
              </w:rPr>
              <w:t>3.</w:t>
            </w:r>
          </w:p>
        </w:tc>
        <w:tc>
          <w:tcPr>
            <w:tcW w:w="4662" w:type="pct"/>
          </w:tcPr>
          <w:p w:rsidR="004C341F" w:rsidRPr="009D0EBF" w:rsidP="009D0EBF" w14:paraId="4D4FAC52"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61D1599" w14:textId="77777777" w:rsidTr="00A00801">
        <w:tblPrEx>
          <w:tblW w:w="5000" w:type="pct"/>
          <w:tblLayout w:type="fixed"/>
          <w:tblLook w:val="0000"/>
        </w:tblPrEx>
        <w:tc>
          <w:tcPr>
            <w:tcW w:w="338" w:type="pct"/>
          </w:tcPr>
          <w:p w:rsidR="004C341F" w:rsidRPr="009D0EBF" w:rsidP="009D0EBF" w14:paraId="083952B5" w14:textId="77777777">
            <w:pPr>
              <w:spacing w:before="120" w:after="120"/>
              <w:jc w:val="center"/>
            </w:pPr>
            <w:r w:rsidRPr="009D0EBF">
              <w:rPr>
                <w:b/>
              </w:rPr>
              <w:t>4.</w:t>
            </w:r>
          </w:p>
        </w:tc>
        <w:tc>
          <w:tcPr>
            <w:tcW w:w="4662" w:type="pct"/>
          </w:tcPr>
          <w:p w:rsidR="004C341F" w:rsidRPr="009D0EBF" w:rsidP="009D0EBF" w14:paraId="1A269B36" w14:textId="77777777">
            <w:pPr>
              <w:spacing w:before="120" w:after="120"/>
            </w:pPr>
            <w:r w:rsidRPr="00324BA8">
              <w:rPr>
                <w:b/>
                <w:bCs/>
              </w:rPr>
              <w:t>Products covered (HS codes or national tariff lines. ICS numbers may be provided in addition, where applicable):</w:t>
            </w:r>
            <w:r w:rsidRPr="009D0EBF" w:rsidR="004B48EF">
              <w:t xml:space="preserve"> Motor cars and other motor vehicles principally designed for the transport of persons (HS:87.03)</w:t>
            </w:r>
          </w:p>
        </w:tc>
      </w:tr>
      <w:tr w14:paraId="51CF0ED6" w14:textId="77777777" w:rsidTr="00A00801">
        <w:tblPrEx>
          <w:tblW w:w="5000" w:type="pct"/>
          <w:tblLayout w:type="fixed"/>
          <w:tblLook w:val="0000"/>
        </w:tblPrEx>
        <w:tc>
          <w:tcPr>
            <w:tcW w:w="338" w:type="pct"/>
          </w:tcPr>
          <w:p w:rsidR="004C341F" w:rsidRPr="009D0EBF" w:rsidP="009D0EBF" w14:paraId="34D26427" w14:textId="77777777">
            <w:pPr>
              <w:spacing w:before="120" w:after="120"/>
              <w:jc w:val="center"/>
            </w:pPr>
            <w:r w:rsidRPr="009D0EBF">
              <w:rPr>
                <w:b/>
              </w:rPr>
              <w:t>5.</w:t>
            </w:r>
          </w:p>
        </w:tc>
        <w:tc>
          <w:tcPr>
            <w:tcW w:w="4662" w:type="pct"/>
          </w:tcPr>
          <w:p w:rsidR="004C341F" w:rsidP="009D0EBF" w14:paraId="0658F048"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Regulations Amending the Passenger Automobile and Light Truck Greenhouse Gas Regulations; (11 page(s), in English), (11 page(s), in French)</w:t>
            </w:r>
          </w:p>
          <w:p w:rsidR="00324BA8" w:rsidRPr="001701DB" w:rsidP="009D0EBF" w14:paraId="1D06B1E8"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24E3CA27" w14:textId="77777777">
            <w:pPr>
              <w:spacing w:after="120"/>
              <w:rPr>
                <w:iCs/>
              </w:rPr>
            </w:pPr>
            <w:hyperlink r:id="rId6" w:tgtFrame="_blank" w:history="1">
              <w:r>
                <w:rPr>
                  <w:iCs/>
                  <w:color w:val="0000FF"/>
                  <w:u w:val="single"/>
                </w:rPr>
                <w:t>https://gazette.gc.ca/rp-pr/p1/2026/2026-08-15/html/reg2-eng.html</w:t>
              </w:r>
            </w:hyperlink>
          </w:p>
        </w:tc>
      </w:tr>
      <w:tr w14:paraId="39BFD1C9" w14:textId="77777777" w:rsidTr="00A00801">
        <w:tblPrEx>
          <w:tblW w:w="5000" w:type="pct"/>
          <w:tblLayout w:type="fixed"/>
          <w:tblLook w:val="0000"/>
        </w:tblPrEx>
        <w:tc>
          <w:tcPr>
            <w:tcW w:w="338" w:type="pct"/>
          </w:tcPr>
          <w:p w:rsidR="004C341F" w:rsidRPr="009D0EBF" w:rsidP="009D0EBF" w14:paraId="0F790B53" w14:textId="77777777">
            <w:pPr>
              <w:spacing w:before="120" w:after="120"/>
              <w:jc w:val="center"/>
            </w:pPr>
            <w:r w:rsidRPr="009D0EBF">
              <w:rPr>
                <w:b/>
              </w:rPr>
              <w:t>6.</w:t>
            </w:r>
          </w:p>
        </w:tc>
        <w:tc>
          <w:tcPr>
            <w:tcW w:w="4662" w:type="pct"/>
          </w:tcPr>
          <w:p w:rsidR="004C341F" w:rsidRPr="009D0EBF" w:rsidP="009D0EBF" w14:paraId="31B431FD" w14:textId="77777777">
            <w:pPr>
              <w:spacing w:before="120" w:after="120"/>
            </w:pPr>
            <w:r w:rsidRPr="009D0EBF">
              <w:rPr>
                <w:b/>
              </w:rPr>
              <w:t>Description of content:</w:t>
            </w:r>
            <w:r w:rsidRPr="002176BC" w:rsidR="004B48EF">
              <w:t xml:space="preserve"> The purpose of the Passenger Automobile and Light Truck Greenhouse Gas Emission Regulations is to reduce greenhouse gas emissions from passenger automobiles and light trucks.</w:t>
            </w:r>
          </w:p>
          <w:p w:rsidR="004B48EF" w:rsidRPr="002176BC" w:rsidP="009D0EBF" w14:paraId="68EE91A5" w14:textId="77777777">
            <w:pPr>
              <w:spacing w:before="120" w:after="120"/>
            </w:pPr>
            <w:r w:rsidRPr="002176BC">
              <w:t>On December 20, 2023, amendments to the Passenger Automobile and Light Truck Greenhouse Gas Emission Regulations introduced new requirements for manufacturers and importers to ensure that their fleet of new light-duty vehicles offered for sale in Canada would meet specified annual targets of zero emission vehicles, known as the Electric Vehicle Availability Standard.</w:t>
            </w:r>
          </w:p>
          <w:p w:rsidR="004B48EF" w:rsidRPr="002176BC" w:rsidP="009D0EBF" w14:paraId="235665DF" w14:textId="77777777">
            <w:pPr>
              <w:spacing w:before="120" w:after="120"/>
            </w:pPr>
            <w:r w:rsidRPr="002176BC">
              <w:t>The purpose of the proposed Regulations Amending the Passenger Automobile and Light Truck Greenhouse Gas Emission Regulations is to repeal the Electric Vehicle Availability Standard, in line with commitments announced by the Prime Minister of Canada in February 2026. The proposed Regulations Amending the Passenger Automobile and Light Truck Greenhouse Gas Emission Regulations will also make changes to maintain the functioning of the Passenger Automobile and Light Truck Greenhouse Gas Emission Regulations fo</w:t>
            </w:r>
            <w:r w:rsidRPr="002176BC">
              <w:t>llowing the repeal of greenhouse gas emission regulations in the United States.</w:t>
            </w:r>
          </w:p>
          <w:p w:rsidR="004B48EF" w:rsidRPr="002176BC" w:rsidP="009D0EBF" w14:paraId="448EEA50" w14:textId="77777777">
            <w:pPr>
              <w:spacing w:before="120" w:after="120"/>
            </w:pPr>
            <w:r w:rsidRPr="002176BC">
              <w:t xml:space="preserve">The Passenger Automobile and Light Truck Greenhouse Gas Emission Regulations were previously notified to the WTO in </w:t>
            </w:r>
            <w:hyperlink r:id="rId7" w:history="1">
              <w:r w:rsidRPr="002176BC">
                <w:rPr>
                  <w:color w:val="0000FF"/>
                  <w:u w:val="single"/>
                </w:rPr>
                <w:t>G/TBT/N/CAN/688</w:t>
              </w:r>
            </w:hyperlink>
            <w:r w:rsidRPr="002176BC">
              <w:t xml:space="preserve"> and </w:t>
            </w:r>
            <w:hyperlink r:id="rId8" w:history="1">
              <w:r w:rsidRPr="002176BC">
                <w:rPr>
                  <w:color w:val="0000FF"/>
                  <w:u w:val="single"/>
                </w:rPr>
                <w:t>G/TBT/N/CAN/688/Add.1</w:t>
              </w:r>
            </w:hyperlink>
            <w:r w:rsidRPr="002176BC">
              <w:t>.</w:t>
            </w:r>
          </w:p>
        </w:tc>
      </w:tr>
      <w:tr w14:paraId="39742CDA" w14:textId="77777777" w:rsidTr="00A00801">
        <w:tblPrEx>
          <w:tblW w:w="5000" w:type="pct"/>
          <w:tblLayout w:type="fixed"/>
          <w:tblLook w:val="0000"/>
        </w:tblPrEx>
        <w:tc>
          <w:tcPr>
            <w:tcW w:w="338" w:type="pct"/>
          </w:tcPr>
          <w:p w:rsidR="004C341F" w:rsidRPr="009D0EBF" w:rsidP="009D0EBF" w14:paraId="0EDFD3E1" w14:textId="77777777">
            <w:pPr>
              <w:spacing w:before="120" w:after="120"/>
              <w:jc w:val="center"/>
            </w:pPr>
            <w:r w:rsidRPr="009D0EBF">
              <w:rPr>
                <w:b/>
              </w:rPr>
              <w:t>7.</w:t>
            </w:r>
          </w:p>
        </w:tc>
        <w:tc>
          <w:tcPr>
            <w:tcW w:w="4662" w:type="pct"/>
          </w:tcPr>
          <w:p w:rsidR="004C341F" w:rsidRPr="009D0EBF" w:rsidP="009D0EBF" w14:paraId="3BD019A2" w14:textId="77777777">
            <w:pPr>
              <w:spacing w:before="120" w:after="120"/>
            </w:pPr>
            <w:r w:rsidRPr="009D0EBF">
              <w:rPr>
                <w:b/>
              </w:rPr>
              <w:t>Objective and rationale, including the nature of urgent problems where applicable:</w:t>
            </w:r>
            <w:r w:rsidRPr="00BF5532" w:rsidR="004B48EF">
              <w:t xml:space="preserve"> Protection of human health or safety; Protection of the environment</w:t>
            </w:r>
            <w:r w:rsidRPr="00BF5532">
              <w:t xml:space="preserve"> </w:t>
            </w:r>
          </w:p>
        </w:tc>
      </w:tr>
      <w:tr w14:paraId="75908EA5" w14:textId="77777777" w:rsidTr="00A00801">
        <w:tblPrEx>
          <w:tblW w:w="5000" w:type="pct"/>
          <w:tblLayout w:type="fixed"/>
          <w:tblLook w:val="0000"/>
        </w:tblPrEx>
        <w:tc>
          <w:tcPr>
            <w:tcW w:w="338" w:type="pct"/>
          </w:tcPr>
          <w:p w:rsidR="004C341F" w:rsidRPr="009D0EBF" w:rsidP="009D0EBF" w14:paraId="38E9683C" w14:textId="77777777">
            <w:pPr>
              <w:spacing w:before="120" w:after="120"/>
              <w:jc w:val="center"/>
            </w:pPr>
            <w:r w:rsidRPr="009D0EBF">
              <w:rPr>
                <w:b/>
              </w:rPr>
              <w:t>8.</w:t>
            </w:r>
          </w:p>
        </w:tc>
        <w:tc>
          <w:tcPr>
            <w:tcW w:w="4662" w:type="pct"/>
          </w:tcPr>
          <w:p w:rsidR="00324BA8" w:rsidRPr="001701DB" w:rsidP="00511F3C" w14:paraId="6D5092BF" w14:textId="77777777">
            <w:pPr>
              <w:spacing w:before="120" w:after="120"/>
            </w:pPr>
            <w:r w:rsidRPr="00454E89">
              <w:rPr>
                <w:b/>
                <w:bCs/>
              </w:rPr>
              <w:t>Relevant documents:</w:t>
            </w:r>
            <w:r w:rsidRPr="004B3635" w:rsidR="004B48EF">
              <w:t xml:space="preserve"> </w:t>
            </w:r>
          </w:p>
          <w:p w:rsidR="004B48EF" w:rsidRPr="004B3635" w:rsidP="00511F3C" w14:paraId="471A9821" w14:textId="77777777">
            <w:pPr>
              <w:spacing w:before="120" w:after="120"/>
            </w:pPr>
            <w:r w:rsidRPr="004B3635">
              <w:t xml:space="preserve">Canadian Government website: </w:t>
            </w:r>
            <w:hyperlink r:id="rId9" w:history="1">
              <w:r w:rsidRPr="004B3635">
                <w:rPr>
                  <w:color w:val="0000FF"/>
                  <w:u w:val="single"/>
                </w:rPr>
                <w:t>https://laws-lois.justice.gc.ca/eng/regulations/sor-2010-201/index.html</w:t>
              </w:r>
            </w:hyperlink>
            <w:r w:rsidRPr="004B3635">
              <w:t xml:space="preserve">, </w:t>
            </w:r>
            <w:r w:rsidRPr="004B3635">
              <w:rPr>
                <w:i/>
                <w:iCs/>
              </w:rPr>
              <w:t>Passenger Automobile and Light Truck Greenhouse Gas Emission Regulations,</w:t>
            </w:r>
            <w:r w:rsidRPr="004B3635">
              <w:t xml:space="preserve"> (available in English and French)</w:t>
            </w:r>
          </w:p>
          <w:p w:rsidR="004B48EF" w:rsidRPr="004B3635" w:rsidP="00511F3C" w14:paraId="624B15CF" w14:textId="77777777">
            <w:pPr>
              <w:spacing w:before="120" w:after="120"/>
            </w:pPr>
            <w:r w:rsidRPr="004B3635">
              <w:t xml:space="preserve">Canadian Government website: </w:t>
            </w:r>
            <w:hyperlink r:id="rId10" w:history="1">
              <w:r w:rsidRPr="004B3635">
                <w:rPr>
                  <w:color w:val="0000FF"/>
                  <w:u w:val="single"/>
                </w:rPr>
                <w:t>https://laws-lois.justice.gc.ca/eng/acts/C-15.31/</w:t>
              </w:r>
            </w:hyperlink>
            <w:r w:rsidRPr="004B3635">
              <w:t xml:space="preserve">, </w:t>
            </w:r>
            <w:r w:rsidRPr="004B3635">
              <w:rPr>
                <w:i/>
                <w:iCs/>
              </w:rPr>
              <w:t>Canadian Environmental Protection Act, 1999, section 93 and 160</w:t>
            </w:r>
            <w:r w:rsidRPr="004B3635">
              <w:t>, (available in English and French)</w:t>
            </w:r>
          </w:p>
        </w:tc>
      </w:tr>
      <w:tr w14:paraId="2FDB53B5" w14:textId="77777777" w:rsidTr="00A00801">
        <w:tblPrEx>
          <w:tblW w:w="5000" w:type="pct"/>
          <w:tblLayout w:type="fixed"/>
          <w:tblLook w:val="0000"/>
        </w:tblPrEx>
        <w:tc>
          <w:tcPr>
            <w:tcW w:w="338" w:type="pct"/>
          </w:tcPr>
          <w:p w:rsidR="004B48EF" w:rsidRPr="009D0EBF" w:rsidP="009D0EBF" w14:paraId="45BD5816" w14:textId="77777777">
            <w:pPr>
              <w:spacing w:before="120" w:after="120"/>
              <w:jc w:val="center"/>
              <w:rPr>
                <w:b/>
              </w:rPr>
            </w:pPr>
            <w:r w:rsidRPr="009D0EBF">
              <w:rPr>
                <w:b/>
              </w:rPr>
              <w:t>9.</w:t>
            </w:r>
          </w:p>
        </w:tc>
        <w:tc>
          <w:tcPr>
            <w:tcW w:w="4662" w:type="pct"/>
          </w:tcPr>
          <w:p w:rsidR="004B48EF" w:rsidRPr="009D0EBF" w:rsidP="00EA2511" w14:paraId="0BE91F7C" w14:textId="77777777">
            <w:pPr>
              <w:spacing w:before="120" w:after="120"/>
            </w:pPr>
            <w:r w:rsidRPr="009D0EBF">
              <w:rPr>
                <w:b/>
              </w:rPr>
              <w:t>Proposed date of adoption:</w:t>
            </w:r>
            <w:r w:rsidR="004B69CA">
              <w:rPr>
                <w:bCs/>
              </w:rPr>
              <w:t xml:space="preserve"> To be determined</w:t>
            </w:r>
          </w:p>
          <w:p w:rsidR="004B48EF" w:rsidRPr="009D0EBF" w:rsidP="00EA2511" w14:paraId="09698336" w14:textId="77777777">
            <w:pPr>
              <w:spacing w:after="120"/>
            </w:pPr>
            <w:r w:rsidRPr="009D0EBF">
              <w:rPr>
                <w:b/>
              </w:rPr>
              <w:t>Proposed date of entry into force:</w:t>
            </w:r>
            <w:r w:rsidR="0022230B">
              <w:rPr>
                <w:bCs/>
              </w:rPr>
              <w:t xml:space="preserve"> The proposed Amendments would come into force on the day on which they are registered.</w:t>
            </w:r>
          </w:p>
        </w:tc>
      </w:tr>
      <w:tr w14:paraId="7F5767C3" w14:textId="77777777" w:rsidTr="00A00801">
        <w:tblPrEx>
          <w:tblW w:w="5000" w:type="pct"/>
          <w:tblLayout w:type="fixed"/>
          <w:tblLook w:val="0000"/>
        </w:tblPrEx>
        <w:tc>
          <w:tcPr>
            <w:tcW w:w="338" w:type="pct"/>
            <w:tcBorders>
              <w:bottom w:val="double" w:sz="4" w:space="0" w:color="auto"/>
            </w:tcBorders>
          </w:tcPr>
          <w:p w:rsidR="004C341F" w:rsidRPr="009D0EBF" w:rsidP="009D0EBF" w14:paraId="0C271D3A"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398DEB6" w14:textId="77777777">
            <w:pPr>
              <w:spacing w:before="120" w:after="120"/>
            </w:pPr>
            <w:r w:rsidRPr="00324BA8">
              <w:rPr>
                <w:b/>
                <w:bCs/>
              </w:rPr>
              <w:t>Provision of comments</w:t>
            </w:r>
          </w:p>
          <w:p w:rsidR="004C341F" w:rsidP="009D0EBF" w14:paraId="2AA4BF24" w14:textId="77777777">
            <w:pPr>
              <w:spacing w:before="120" w:after="120"/>
              <w:rPr>
                <w:bCs/>
              </w:rPr>
            </w:pPr>
            <w:r w:rsidRPr="009D0EBF">
              <w:rPr>
                <w:b/>
              </w:rPr>
              <w:t>Final date for comments:</w:t>
            </w:r>
            <w:r w:rsidRPr="004B3635" w:rsidR="004B48EF">
              <w:t xml:space="preserve"> 29 October 2026</w:t>
            </w:r>
          </w:p>
          <w:p w:rsidR="00324BA8" w:rsidP="009D0EBF" w14:paraId="0D458573" w14:textId="77777777">
            <w:pPr>
              <w:spacing w:before="120" w:after="120"/>
              <w:rPr>
                <w:b/>
                <w:bCs/>
              </w:rPr>
            </w:pPr>
            <w:r w:rsidRPr="00324BA8">
              <w:rPr>
                <w:b/>
                <w:bCs/>
              </w:rPr>
              <w:t>[ ] 60 days from notification</w:t>
            </w:r>
            <w:r w:rsidRPr="00511F3C" w:rsidR="00511F3C">
              <w:t xml:space="preserve"> </w:t>
            </w:r>
          </w:p>
          <w:p w:rsidR="00324BA8" w:rsidRPr="001701DB" w:rsidP="009D0EBF" w14:paraId="3F1D3730"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EDAFEEF" w14:textId="77777777">
            <w:r>
              <w:t>Canada's Notification Authority and Enquiry Point</w:t>
            </w:r>
          </w:p>
          <w:p w:rsidR="001701DB" w:rsidP="009D0EBF" w14:paraId="1272F024" w14:textId="77777777">
            <w:r>
              <w:t>Global Affairs Canada</w:t>
            </w:r>
          </w:p>
          <w:p w:rsidR="001701DB" w:rsidP="009D0EBF" w14:paraId="5E735C55" w14:textId="77777777">
            <w:r>
              <w:t>Technical Barriers and Regulations Division</w:t>
            </w:r>
          </w:p>
          <w:p w:rsidR="001701DB" w:rsidP="009D0EBF" w14:paraId="0AAA1F1F" w14:textId="77777777">
            <w:r>
              <w:t>111 Sussex Drive</w:t>
            </w:r>
          </w:p>
          <w:p w:rsidR="001701DB" w:rsidP="009D0EBF" w14:paraId="3B788D80" w14:textId="77777777">
            <w:r>
              <w:t>Ottawa, ON K1A 0G2</w:t>
            </w:r>
          </w:p>
          <w:p w:rsidR="001701DB" w:rsidRPr="00454E89" w:rsidP="009D0EBF" w14:paraId="1AD94BE8" w14:textId="77777777">
            <w:pPr>
              <w:rPr>
                <w:lang w:val="es-ES_tradnl"/>
              </w:rPr>
            </w:pPr>
            <w:r w:rsidRPr="00454E89">
              <w:rPr>
                <w:lang w:val="es-ES_tradnl"/>
              </w:rPr>
              <w:t>Canada</w:t>
            </w:r>
          </w:p>
          <w:p w:rsidR="001701DB" w:rsidRPr="00454E89" w:rsidP="009D0EBF" w14:paraId="1D41C60B" w14:textId="77777777">
            <w:pPr>
              <w:spacing w:after="120"/>
              <w:rPr>
                <w:lang w:val="es-ES_tradnl"/>
              </w:rPr>
            </w:pPr>
            <w:r w:rsidRPr="00454E89">
              <w:rPr>
                <w:lang w:val="es-ES_tradnl"/>
              </w:rPr>
              <w:t xml:space="preserve">Email: </w:t>
            </w:r>
            <w:hyperlink r:id="rId11" w:history="1">
              <w:r w:rsidRPr="00454E89">
                <w:rPr>
                  <w:color w:val="0000FF"/>
                  <w:u w:val="single"/>
                  <w:lang w:val="es-ES_tradnl"/>
                </w:rPr>
                <w:t>enquirypoint@international.gc.ca</w:t>
              </w:r>
            </w:hyperlink>
          </w:p>
        </w:tc>
      </w:tr>
    </w:tbl>
    <w:p w:rsidR="004B48EF" w:rsidRPr="00454E89" w:rsidP="00324BA8" w14:paraId="5734A6E3" w14:textId="77777777">
      <w:pPr>
        <w:jc w:val="center"/>
        <w:rPr>
          <w:lang w:val="es-ES_tradnl"/>
        </w:rPr>
      </w:pPr>
    </w:p>
    <w:sectPr w:rsidSect="00E94F7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38E6A0C"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6C3DD4D"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7577A538"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3AD4351"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38FC631A" w14:textId="77777777">
    <w:pPr>
      <w:pStyle w:val="Header"/>
      <w:pBdr>
        <w:bottom w:val="single" w:sz="4" w:space="1" w:color="auto"/>
      </w:pBdr>
      <w:tabs>
        <w:tab w:val="clear" w:pos="4513"/>
        <w:tab w:val="clear" w:pos="9027"/>
      </w:tabs>
      <w:jc w:val="center"/>
    </w:pPr>
  </w:p>
  <w:p w:rsidR="004B69CA" w:rsidRPr="009D0EBF" w:rsidP="00D90ADD" w14:paraId="4572ACC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B5AD0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7230946" w14:textId="77777777">
    <w:pPr>
      <w:pStyle w:val="Header"/>
      <w:pBdr>
        <w:bottom w:val="single" w:sz="4" w:space="1" w:color="auto"/>
      </w:pBdr>
      <w:tabs>
        <w:tab w:val="clear" w:pos="4513"/>
        <w:tab w:val="clear" w:pos="9027"/>
      </w:tabs>
      <w:jc w:val="center"/>
    </w:pPr>
    <w:bookmarkStart w:id="0" w:name="spsSymbolHeader"/>
    <w:r w:rsidRPr="009D0EBF">
      <w:t>G/TBT/N/CAN/688/Rev.1</w:t>
    </w:r>
    <w:bookmarkEnd w:id="0"/>
  </w:p>
  <w:p w:rsidR="00D90ADD" w:rsidRPr="009D0EBF" w:rsidP="00D90ADD" w14:paraId="7627A76E" w14:textId="77777777">
    <w:pPr>
      <w:pStyle w:val="Header"/>
      <w:pBdr>
        <w:bottom w:val="single" w:sz="4" w:space="1" w:color="auto"/>
      </w:pBdr>
      <w:tabs>
        <w:tab w:val="clear" w:pos="4513"/>
        <w:tab w:val="clear" w:pos="9027"/>
      </w:tabs>
      <w:jc w:val="center"/>
    </w:pPr>
  </w:p>
  <w:p w:rsidR="00D90ADD" w:rsidRPr="009D0EBF" w:rsidP="00D90ADD" w14:paraId="6A4F217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78C3D1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DDA4C4"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AC0465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6D58706B" w14:textId="77777777">
          <w:pPr>
            <w:jc w:val="right"/>
            <w:rPr>
              <w:b/>
              <w:color w:val="FF0000"/>
              <w:szCs w:val="16"/>
            </w:rPr>
          </w:pPr>
        </w:p>
      </w:tc>
    </w:tr>
    <w:bookmarkEnd w:id="1"/>
    <w:tr w14:paraId="47FBA9F8"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606E29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0130CB80" w14:textId="77777777">
          <w:pPr>
            <w:jc w:val="right"/>
            <w:rPr>
              <w:b/>
              <w:szCs w:val="16"/>
            </w:rPr>
          </w:pPr>
        </w:p>
      </w:tc>
    </w:tr>
    <w:tr w14:paraId="47661507"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1CB458F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DC63182" w14:textId="77777777">
          <w:pPr>
            <w:jc w:val="right"/>
            <w:rPr>
              <w:b/>
              <w:szCs w:val="16"/>
            </w:rPr>
          </w:pPr>
          <w:bookmarkStart w:id="2" w:name="bmkSymbols"/>
          <w:r w:rsidRPr="009D0EBF">
            <w:rPr>
              <w:b/>
              <w:szCs w:val="16"/>
            </w:rPr>
            <w:t>G/TBT/N/CAN/688/Rev.1</w:t>
          </w:r>
          <w:bookmarkEnd w:id="2"/>
        </w:p>
      </w:tc>
    </w:tr>
    <w:tr w14:paraId="27EDAAA7"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2418E5A" w14:textId="77777777"/>
      </w:tc>
      <w:tc>
        <w:tcPr>
          <w:tcW w:w="5448" w:type="dxa"/>
          <w:gridSpan w:val="2"/>
          <w:shd w:val="clear" w:color="auto" w:fill="FFFFFF"/>
          <w:tcMar>
            <w:left w:w="108" w:type="dxa"/>
            <w:right w:w="108" w:type="dxa"/>
          </w:tcMar>
          <w:vAlign w:val="center"/>
        </w:tcPr>
        <w:p w:rsidR="00ED54E0" w:rsidRPr="00D90ADD" w:rsidP="00C82B33" w14:paraId="17FEE040" w14:textId="77777777">
          <w:pPr>
            <w:jc w:val="right"/>
            <w:rPr>
              <w:szCs w:val="16"/>
            </w:rPr>
          </w:pPr>
          <w:bookmarkStart w:id="3" w:name="spsDateDistribution"/>
          <w:bookmarkStart w:id="4" w:name="bmkDate"/>
          <w:r w:rsidRPr="00D90ADD">
            <w:rPr>
              <w:szCs w:val="16"/>
            </w:rPr>
            <w:t>4 September 2026</w:t>
          </w:r>
          <w:bookmarkEnd w:id="3"/>
          <w:bookmarkEnd w:id="4"/>
        </w:p>
      </w:tc>
    </w:tr>
    <w:tr w14:paraId="37349108"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3B8935F" w14:textId="77777777">
          <w:pPr>
            <w:jc w:val="left"/>
            <w:rPr>
              <w:b/>
            </w:rPr>
          </w:pPr>
          <w:bookmarkStart w:id="5" w:name="bmkSerial"/>
          <w:r>
            <w:rPr>
              <w:rFonts w:ascii="Verdana" w:eastAsia="Verdana" w:hAnsi="Verdana" w:cs="Verdana"/>
              <w:b w:val="0"/>
              <w:color w:val="FF0000"/>
              <w:sz w:val="18"/>
            </w:rPr>
            <w:t>(26-6092)</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AFA8106"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C4D1455"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76ACAF2D"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59C9584B" w14:textId="00CE257B">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r w:rsidR="00454E89">
            <w:rPr>
              <w:bCs/>
              <w:szCs w:val="18"/>
            </w:rPr>
            <w:t>/</w:t>
          </w:r>
          <w:r w:rsidRPr="009D0EBF">
            <w:rPr>
              <w:bCs/>
              <w:szCs w:val="18"/>
            </w:rPr>
            <w:t>French</w:t>
          </w:r>
          <w:bookmarkEnd w:id="8"/>
          <w:bookmarkEnd w:id="9"/>
        </w:p>
      </w:tc>
    </w:tr>
  </w:tbl>
  <w:p w:rsidR="00ED54E0" w:rsidRPr="009D0EBF" w14:paraId="5411C7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8942867">
    <w:abstractNumId w:val="9"/>
  </w:num>
  <w:num w:numId="2" w16cid:durableId="2113545248">
    <w:abstractNumId w:val="7"/>
  </w:num>
  <w:num w:numId="3" w16cid:durableId="588973512">
    <w:abstractNumId w:val="6"/>
  </w:num>
  <w:num w:numId="4" w16cid:durableId="1900506804">
    <w:abstractNumId w:val="5"/>
  </w:num>
  <w:num w:numId="5" w16cid:durableId="267322583">
    <w:abstractNumId w:val="4"/>
  </w:num>
  <w:num w:numId="6" w16cid:durableId="557399215">
    <w:abstractNumId w:val="12"/>
  </w:num>
  <w:num w:numId="7" w16cid:durableId="1665157553">
    <w:abstractNumId w:val="11"/>
  </w:num>
  <w:num w:numId="8" w16cid:durableId="97142283">
    <w:abstractNumId w:val="10"/>
  </w:num>
  <w:num w:numId="9" w16cid:durableId="961032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75227">
    <w:abstractNumId w:val="13"/>
  </w:num>
  <w:num w:numId="11" w16cid:durableId="1520046681">
    <w:abstractNumId w:val="8"/>
  </w:num>
  <w:num w:numId="12" w16cid:durableId="920067732">
    <w:abstractNumId w:val="3"/>
  </w:num>
  <w:num w:numId="13" w16cid:durableId="399210589">
    <w:abstractNumId w:val="2"/>
  </w:num>
  <w:num w:numId="14" w16cid:durableId="2084176919">
    <w:abstractNumId w:val="1"/>
  </w:num>
  <w:num w:numId="15" w16cid:durableId="172028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0F361E"/>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02335"/>
    <w:rsid w:val="00324BA8"/>
    <w:rsid w:val="00337B14"/>
    <w:rsid w:val="00353CB2"/>
    <w:rsid w:val="003572B4"/>
    <w:rsid w:val="003E6C00"/>
    <w:rsid w:val="003F5EEF"/>
    <w:rsid w:val="00400D4D"/>
    <w:rsid w:val="0041081F"/>
    <w:rsid w:val="00454E89"/>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06A83"/>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A0924"/>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027BD"/>
    <w:rsid w:val="00A1381D"/>
    <w:rsid w:val="00A14E08"/>
    <w:rsid w:val="00A6057A"/>
    <w:rsid w:val="00A74017"/>
    <w:rsid w:val="00A75DAA"/>
    <w:rsid w:val="00A83C94"/>
    <w:rsid w:val="00A90A61"/>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E08336"/>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aws-lois.justice.gc.ca/eng/acts/C-15.31/" TargetMode="External" /><Relationship Id="rId11" Type="http://schemas.openxmlformats.org/officeDocument/2006/relationships/hyperlink" Target="mailto:enquirypoint@international.gc.ca"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1/2026/2026-08-15/html/reg2-eng.html" TargetMode="External" /><Relationship Id="rId7" Type="http://schemas.openxmlformats.org/officeDocument/2006/relationships/hyperlink" Target="https://eping.wto.org/en/Search/Index?countryIds=C124&amp;documentSymbol=TBT&amp;freeText=%22Passenger%20Automobile%20and%20Light%20Truck%20Greenhouse%20Gas%20Regulations%20%22&amp;viewData=G%2FTBT%2FN%2FCAN%2F688" TargetMode="External" /><Relationship Id="rId8" Type="http://schemas.openxmlformats.org/officeDocument/2006/relationships/hyperlink" Target="https://eping.wto.org/en/Search/Index?documentSymbol=G%2FTBT%2FN%2FCAN%2F688&amp;viewData=G%2FTBT%2FN%2FCAN%2F688%2FAdd.1" TargetMode="External" /><Relationship Id="rId9" Type="http://schemas.openxmlformats.org/officeDocument/2006/relationships/hyperlink" Target="https://laws-lois.justice.gc.ca/eng/regulations/sor-2010-201/index.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4020-5760-4AB5-9839-41F80C04708F}">
  <ds:schemaRefs>
    <ds:schemaRef ds:uri="http://schemas.titus.com/TitusProperties/"/>
    <ds:schemaRef ds:uri=""/>
  </ds:schemaRefs>
</ds:datastoreItem>
</file>

<file path=customXml/itemProps2.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6</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2026-09-04T06:58:00Z</dcterms:created>
  <dcterms:modified xsi:type="dcterms:W3CDTF">2026-09-04T07:37:00Z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