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AE3F2B8" w14:textId="77777777">
      <w:pPr>
        <w:pStyle w:val="Title"/>
        <w:rPr>
          <w:caps w:val="0"/>
          <w:kern w:val="0"/>
        </w:rPr>
      </w:pPr>
      <w:r w:rsidRPr="002F6A28">
        <w:rPr>
          <w:caps w:val="0"/>
          <w:kern w:val="0"/>
        </w:rPr>
        <w:t>NOTIFICATION</w:t>
      </w:r>
    </w:p>
    <w:p w:rsidR="009239F7" w:rsidRPr="002F6A28" w:rsidP="002F6A28" w14:paraId="15E37089" w14:textId="77777777">
      <w:pPr>
        <w:jc w:val="center"/>
      </w:pPr>
      <w:r w:rsidRPr="002F6A28">
        <w:t>The following notification is being circulated in accordance with Article 10.6</w:t>
      </w:r>
    </w:p>
    <w:p w:rsidR="009239F7" w:rsidRPr="002F6A28" w:rsidP="002F6A28" w14:paraId="5160FCA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3DE3BE" w14:textId="77777777" w:rsidTr="00DB13FE">
        <w:tblPrEx>
          <w:tblW w:w="5000" w:type="pct"/>
          <w:tblLayout w:type="fixed"/>
          <w:tblLook w:val="0000"/>
        </w:tblPrEx>
        <w:tc>
          <w:tcPr>
            <w:tcW w:w="607" w:type="dxa"/>
            <w:tcBorders>
              <w:top w:val="double" w:sz="4" w:space="0" w:color="auto"/>
            </w:tcBorders>
          </w:tcPr>
          <w:p w:rsidR="00F85C99" w:rsidRPr="002F6A28" w:rsidP="002F6A28" w14:paraId="10C8838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6BBAF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AF0BAD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6075783" w14:textId="77777777" w:rsidTr="00DB13FE">
        <w:tblPrEx>
          <w:tblW w:w="5000" w:type="pct"/>
          <w:tblLayout w:type="fixed"/>
          <w:tblLook w:val="0000"/>
        </w:tblPrEx>
        <w:tc>
          <w:tcPr>
            <w:tcW w:w="607" w:type="dxa"/>
          </w:tcPr>
          <w:p w:rsidR="00F85C99" w:rsidRPr="002F6A28" w:rsidP="002F6A28" w14:paraId="6156A4B2" w14:textId="77777777">
            <w:pPr>
              <w:spacing w:before="120" w:after="120"/>
              <w:jc w:val="left"/>
            </w:pPr>
            <w:r w:rsidRPr="002F6A28">
              <w:rPr>
                <w:b/>
              </w:rPr>
              <w:t>2.</w:t>
            </w:r>
          </w:p>
        </w:tc>
        <w:tc>
          <w:tcPr>
            <w:tcW w:w="8373" w:type="dxa"/>
          </w:tcPr>
          <w:p w:rsidR="00F85C99" w:rsidRPr="002F6A28" w:rsidP="000C3B6C" w14:paraId="53F9351A" w14:textId="77777777">
            <w:pPr>
              <w:spacing w:before="120" w:after="120"/>
            </w:pPr>
            <w:r w:rsidRPr="002F6A28">
              <w:rPr>
                <w:b/>
              </w:rPr>
              <w:t>Agency responsible:</w:t>
            </w:r>
            <w:r w:rsidRPr="00C379C8" w:rsidR="00EE3A11">
              <w:t xml:space="preserve"> </w:t>
            </w:r>
          </w:p>
          <w:p w:rsidR="00EE3A11" w:rsidRPr="00C379C8" w:rsidP="000C3B6C" w14:paraId="1A771903" w14:textId="77777777">
            <w:pPr>
              <w:spacing w:after="120"/>
            </w:pPr>
            <w:r w:rsidRPr="00C379C8">
              <w:t>State Administration for Market Regulation (Standardization Administration of the P.R.C.)</w:t>
            </w:r>
          </w:p>
        </w:tc>
      </w:tr>
      <w:tr w14:paraId="2D8E8911" w14:textId="77777777" w:rsidTr="00DB13FE">
        <w:tblPrEx>
          <w:tblW w:w="5000" w:type="pct"/>
          <w:tblLayout w:type="fixed"/>
          <w:tblLook w:val="0000"/>
        </w:tblPrEx>
        <w:tc>
          <w:tcPr>
            <w:tcW w:w="607" w:type="dxa"/>
          </w:tcPr>
          <w:p w:rsidR="00F85C99" w:rsidRPr="002F6A28" w:rsidP="002F6A28" w14:paraId="42B52B1C" w14:textId="77777777">
            <w:pPr>
              <w:spacing w:before="120" w:after="120"/>
              <w:jc w:val="left"/>
              <w:rPr>
                <w:b/>
              </w:rPr>
            </w:pPr>
            <w:r w:rsidRPr="002F6A28">
              <w:rPr>
                <w:b/>
              </w:rPr>
              <w:t>3.</w:t>
            </w:r>
          </w:p>
        </w:tc>
        <w:tc>
          <w:tcPr>
            <w:tcW w:w="8373" w:type="dxa"/>
          </w:tcPr>
          <w:p w:rsidR="00F85C99" w:rsidRPr="0058336F" w:rsidP="002F6A28" w14:paraId="3B43A7F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67EA304" w14:textId="77777777" w:rsidTr="00DB13FE">
        <w:tblPrEx>
          <w:tblW w:w="5000" w:type="pct"/>
          <w:tblLayout w:type="fixed"/>
          <w:tblLook w:val="0000"/>
        </w:tblPrEx>
        <w:tc>
          <w:tcPr>
            <w:tcW w:w="607" w:type="dxa"/>
          </w:tcPr>
          <w:p w:rsidR="00F85C99" w:rsidRPr="002F6A28" w:rsidP="002F6A28" w14:paraId="502D13B6" w14:textId="77777777">
            <w:pPr>
              <w:spacing w:before="120" w:after="120"/>
              <w:jc w:val="left"/>
            </w:pPr>
            <w:r w:rsidRPr="002F6A28">
              <w:rPr>
                <w:b/>
              </w:rPr>
              <w:t>4.</w:t>
            </w:r>
          </w:p>
        </w:tc>
        <w:tc>
          <w:tcPr>
            <w:tcW w:w="8373" w:type="dxa"/>
          </w:tcPr>
          <w:p w:rsidR="00F85C99" w:rsidRPr="002F6A28" w:rsidP="002F6A28" w14:paraId="6C5A125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LCD TV Set; OLED TV Set; cable set-top box /telecom operator IPTV set-top box; streaming-only Internet TV Box (HS code(s): 851762; 852871; 852872); (ICS code(s): 27.010)</w:t>
            </w:r>
          </w:p>
        </w:tc>
      </w:tr>
      <w:tr w14:paraId="61246C55" w14:textId="77777777" w:rsidTr="00DB13FE">
        <w:tblPrEx>
          <w:tblW w:w="5000" w:type="pct"/>
          <w:tblLayout w:type="fixed"/>
          <w:tblLook w:val="0000"/>
        </w:tblPrEx>
        <w:tc>
          <w:tcPr>
            <w:tcW w:w="607" w:type="dxa"/>
          </w:tcPr>
          <w:p w:rsidR="00F85C99" w:rsidRPr="002F6A28" w:rsidP="002F6A28" w14:paraId="5340C3C4" w14:textId="77777777">
            <w:pPr>
              <w:spacing w:before="120" w:after="120"/>
              <w:jc w:val="left"/>
            </w:pPr>
            <w:r w:rsidRPr="002F6A28">
              <w:rPr>
                <w:b/>
              </w:rPr>
              <w:t>5.</w:t>
            </w:r>
          </w:p>
        </w:tc>
        <w:tc>
          <w:tcPr>
            <w:tcW w:w="8373" w:type="dxa"/>
          </w:tcPr>
          <w:p w:rsidR="00F85C99" w:rsidP="002F6A28" w14:paraId="76A324F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flat panel televisions and set-top boxes; (22 page(s), in Chinese)</w:t>
            </w:r>
          </w:p>
          <w:p w:rsidR="000C3B6C" w:rsidRPr="000C3B6C" w:rsidP="002F6A28" w14:paraId="6BCD439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4084" w:rsidRPr="00CE6C29" w:rsidP="002F6A28" w14:paraId="3CA6AC1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https://members.wto.org/crnattachments/2026/TBT/CHN/26_04303_00_x.pdf</w:t>
              </w:r>
            </w:hyperlink>
          </w:p>
        </w:tc>
      </w:tr>
      <w:tr w14:paraId="74B21C1F" w14:textId="77777777" w:rsidTr="00DB13FE">
        <w:tblPrEx>
          <w:tblW w:w="5000" w:type="pct"/>
          <w:tblLayout w:type="fixed"/>
          <w:tblLook w:val="0000"/>
        </w:tblPrEx>
        <w:tc>
          <w:tcPr>
            <w:tcW w:w="607" w:type="dxa"/>
          </w:tcPr>
          <w:p w:rsidR="00F85C99" w:rsidRPr="002F6A28" w:rsidP="002F6A28" w14:paraId="4D5CD664" w14:textId="77777777">
            <w:pPr>
              <w:spacing w:before="120" w:after="120"/>
              <w:jc w:val="left"/>
              <w:rPr>
                <w:b/>
              </w:rPr>
            </w:pPr>
            <w:r w:rsidRPr="002F6A28">
              <w:rPr>
                <w:b/>
              </w:rPr>
              <w:t>6.</w:t>
            </w:r>
          </w:p>
        </w:tc>
        <w:tc>
          <w:tcPr>
            <w:tcW w:w="8373" w:type="dxa"/>
          </w:tcPr>
          <w:p w:rsidR="00F85C99" w:rsidRPr="002F6A28" w:rsidP="002F6A28" w14:paraId="7D99882D" w14:textId="77777777">
            <w:pPr>
              <w:spacing w:before="120" w:after="120"/>
              <w:rPr>
                <w:b/>
              </w:rPr>
            </w:pPr>
            <w:r w:rsidRPr="002F6A28">
              <w:rPr>
                <w:b/>
              </w:rPr>
              <w:t>Description of content:</w:t>
            </w:r>
            <w:r w:rsidRPr="00C379C8" w:rsidR="00FE448B">
              <w:t xml:space="preserve"> This document specifies the energy efficiency grades, minimum allowable values of energy efficiency and test methods for flat-panel televisions and general-purpose set-top boxes.</w:t>
            </w:r>
          </w:p>
          <w:p w:rsidR="00FE448B" w:rsidRPr="00C379C8" w:rsidP="002F6A28" w14:paraId="060A1BFD" w14:textId="77777777">
            <w:pPr>
              <w:spacing w:before="120" w:after="120"/>
            </w:pPr>
            <w:r w:rsidRPr="00C379C8">
              <w:t>This document applies to liquid crystal display (LCD) televisions and organic light-emitting diode (OLED) televisions that operate normally under an AC power supply of 220 V, 50 Hz, with primary functions of receiving, demodulating and displaying analog radio frequency signals, digital radio frequency signals and other digital signals.</w:t>
            </w:r>
          </w:p>
          <w:p w:rsidR="00FE448B" w:rsidRPr="00C379C8" w:rsidP="002F6A28" w14:paraId="4CE07347" w14:textId="77777777">
            <w:pPr>
              <w:spacing w:before="120" w:after="120"/>
            </w:pPr>
            <w:r w:rsidRPr="00C379C8">
              <w:t>This document applies to set-top boxes operating normally under an AC power supply of 220 V, 50 Hz, including cable set-top boxes, internet set-top boxes and IPTV set-top boxes.</w:t>
            </w:r>
          </w:p>
          <w:p w:rsidR="00FE448B" w:rsidRPr="00C379C8" w:rsidP="002F6A28" w14:paraId="59B357BD" w14:textId="77777777">
            <w:pPr>
              <w:spacing w:before="120" w:after="120"/>
            </w:pPr>
            <w:r w:rsidRPr="00C379C8">
              <w:t>This document does not apply to:</w:t>
            </w:r>
          </w:p>
          <w:p w:rsidR="00FE448B" w:rsidRPr="00C379C8" w:rsidP="002F6A28" w14:paraId="5039CB8B" w14:textId="77777777">
            <w:pPr>
              <w:spacing w:before="120" w:after="120"/>
            </w:pPr>
            <w:r w:rsidRPr="00C379C8">
              <w:t>a) Display devices adopting light-emitting diode (LED) as the display mode;</w:t>
            </w:r>
          </w:p>
          <w:p w:rsidR="00FE448B" w:rsidRPr="00C379C8" w:rsidP="002F6A28" w14:paraId="54428430" w14:textId="77777777">
            <w:pPr>
              <w:spacing w:before="120" w:after="120"/>
            </w:pPr>
            <w:r w:rsidRPr="00C379C8">
              <w:t>b) Terrestrial set-top boxes, satellite set-top boxes and direct broadcast satellite set-top boxes;</w:t>
            </w:r>
          </w:p>
          <w:p w:rsidR="00FE448B" w:rsidRPr="00C379C8" w:rsidP="002F6A28" w14:paraId="16D60679" w14:textId="77777777">
            <w:pPr>
              <w:spacing w:before="120" w:after="120"/>
            </w:pPr>
            <w:r w:rsidRPr="00C379C8">
              <w:t>c) Integrated converged multi-network, multi-service and multi-hardware devices with incorporating set-top box functions;</w:t>
            </w:r>
          </w:p>
          <w:p w:rsidR="00FE448B" w:rsidRPr="00C379C8" w:rsidP="002F6A28" w14:paraId="2BC30C0D" w14:textId="77777777">
            <w:pPr>
              <w:spacing w:before="120" w:after="120"/>
            </w:pPr>
            <w:r w:rsidRPr="00C379C8">
              <w:t>d) Set-top boxes equipped with 8K video demodulation and decoding functions.</w:t>
            </w:r>
          </w:p>
        </w:tc>
      </w:tr>
      <w:tr w14:paraId="588C84D4" w14:textId="77777777" w:rsidTr="00DB13FE">
        <w:tblPrEx>
          <w:tblW w:w="5000" w:type="pct"/>
          <w:tblLayout w:type="fixed"/>
          <w:tblLook w:val="0000"/>
        </w:tblPrEx>
        <w:tc>
          <w:tcPr>
            <w:tcW w:w="607" w:type="dxa"/>
          </w:tcPr>
          <w:p w:rsidR="00F85C99" w:rsidRPr="002F6A28" w:rsidP="002F6A28" w14:paraId="6FEDC373" w14:textId="77777777">
            <w:pPr>
              <w:spacing w:before="120" w:after="120"/>
              <w:jc w:val="left"/>
              <w:rPr>
                <w:b/>
              </w:rPr>
            </w:pPr>
            <w:r w:rsidRPr="002F6A28">
              <w:rPr>
                <w:b/>
              </w:rPr>
              <w:t>7.</w:t>
            </w:r>
          </w:p>
        </w:tc>
        <w:tc>
          <w:tcPr>
            <w:tcW w:w="8373" w:type="dxa"/>
          </w:tcPr>
          <w:p w:rsidR="00F85C99" w:rsidRPr="002F6A28" w:rsidP="002F6A28" w14:paraId="0F700C17" w14:textId="77777777">
            <w:pPr>
              <w:spacing w:before="120" w:after="120"/>
              <w:rPr>
                <w:b/>
              </w:rPr>
            </w:pPr>
            <w:r w:rsidRPr="002F6A28">
              <w:rPr>
                <w:b/>
              </w:rPr>
              <w:t>Objective and rationale, including the nature of urgent problems where applicable:</w:t>
            </w:r>
            <w:r w:rsidRPr="00C379C8" w:rsidR="00EE3A11">
              <w:t xml:space="preserve"> Protection of the environment</w:t>
            </w:r>
          </w:p>
        </w:tc>
      </w:tr>
      <w:tr w14:paraId="1988A75B" w14:textId="77777777" w:rsidTr="00DB13FE">
        <w:tblPrEx>
          <w:tblW w:w="5000" w:type="pct"/>
          <w:tblLayout w:type="fixed"/>
          <w:tblLook w:val="0000"/>
        </w:tblPrEx>
        <w:tc>
          <w:tcPr>
            <w:tcW w:w="607" w:type="dxa"/>
          </w:tcPr>
          <w:p w:rsidR="00F85C99" w:rsidRPr="002F6A28" w:rsidP="009E75ED" w14:paraId="21D094E1" w14:textId="77777777">
            <w:pPr>
              <w:spacing w:before="120" w:after="120"/>
              <w:jc w:val="left"/>
              <w:rPr>
                <w:b/>
              </w:rPr>
            </w:pPr>
            <w:r w:rsidRPr="002F6A28">
              <w:rPr>
                <w:b/>
              </w:rPr>
              <w:t>8.</w:t>
            </w:r>
          </w:p>
        </w:tc>
        <w:tc>
          <w:tcPr>
            <w:tcW w:w="8373" w:type="dxa"/>
          </w:tcPr>
          <w:p w:rsidR="000C3B6C" w:rsidRPr="00EC00D2" w:rsidP="007F13E8" w14:paraId="59EC49BD" w14:textId="77777777">
            <w:pPr>
              <w:spacing w:before="120" w:after="120"/>
              <w:rPr>
                <w:bCs/>
              </w:rPr>
            </w:pPr>
            <w:r w:rsidRPr="002F6A28">
              <w:rPr>
                <w:b/>
              </w:rPr>
              <w:t>Relevant documents:</w:t>
            </w:r>
            <w:r w:rsidRPr="002F6A28" w:rsidR="00EE3A11">
              <w:t xml:space="preserve"> </w:t>
            </w:r>
          </w:p>
          <w:p w:rsidR="00EE3A11" w:rsidRPr="002F6A28" w:rsidP="007F13E8" w14:paraId="58D5B4DF" w14:textId="77777777">
            <w:pPr>
              <w:spacing w:before="120" w:after="120"/>
            </w:pPr>
            <w:r w:rsidRPr="002F6A28">
              <w:t>-</w:t>
            </w:r>
          </w:p>
        </w:tc>
      </w:tr>
      <w:tr w14:paraId="68850B4B" w14:textId="77777777" w:rsidTr="00DB13FE">
        <w:tblPrEx>
          <w:tblW w:w="5000" w:type="pct"/>
          <w:tblLayout w:type="fixed"/>
          <w:tblLook w:val="0000"/>
        </w:tblPrEx>
        <w:tc>
          <w:tcPr>
            <w:tcW w:w="607" w:type="dxa"/>
          </w:tcPr>
          <w:p w:rsidR="00EE3A11" w:rsidRPr="002F6A28" w:rsidP="002F6A28" w14:paraId="2A890775" w14:textId="77777777">
            <w:pPr>
              <w:spacing w:before="120" w:after="120"/>
              <w:jc w:val="left"/>
              <w:rPr>
                <w:b/>
              </w:rPr>
            </w:pPr>
            <w:r w:rsidRPr="002F6A28">
              <w:rPr>
                <w:b/>
              </w:rPr>
              <w:t>9.</w:t>
            </w:r>
          </w:p>
        </w:tc>
        <w:tc>
          <w:tcPr>
            <w:tcW w:w="8373" w:type="dxa"/>
          </w:tcPr>
          <w:p w:rsidR="00EE3A11" w:rsidRPr="002F6A28" w:rsidP="008953C4" w14:paraId="65EFCC39" w14:textId="77777777">
            <w:pPr>
              <w:spacing w:before="120" w:after="120"/>
            </w:pPr>
            <w:r w:rsidRPr="002F6A28">
              <w:rPr>
                <w:b/>
              </w:rPr>
              <w:t>Proposed date of adoption:</w:t>
            </w:r>
            <w:r w:rsidRPr="00C379C8">
              <w:t xml:space="preserve"> To be determined</w:t>
            </w:r>
          </w:p>
          <w:p w:rsidR="00EE3A11" w:rsidRPr="002F6A28" w:rsidP="008953C4" w14:paraId="3B7A93CE" w14:textId="77777777">
            <w:pPr>
              <w:spacing w:after="120"/>
            </w:pPr>
            <w:r w:rsidRPr="002F6A28">
              <w:rPr>
                <w:b/>
              </w:rPr>
              <w:t>Proposed date of entry into force:</w:t>
            </w:r>
            <w:r w:rsidRPr="00C379C8">
              <w:t xml:space="preserve"> </w:t>
            </w:r>
            <w:r w:rsidRPr="00C379C8">
              <w:t>12 months after approved</w:t>
            </w:r>
          </w:p>
        </w:tc>
      </w:tr>
      <w:tr w14:paraId="40724D22" w14:textId="77777777" w:rsidTr="00DB13FE">
        <w:tblPrEx>
          <w:tblW w:w="5000" w:type="pct"/>
          <w:tblLayout w:type="fixed"/>
          <w:tblLook w:val="0000"/>
        </w:tblPrEx>
        <w:tc>
          <w:tcPr>
            <w:tcW w:w="607" w:type="dxa"/>
            <w:tcBorders>
              <w:bottom w:val="double" w:sz="4" w:space="0" w:color="auto"/>
            </w:tcBorders>
          </w:tcPr>
          <w:p w:rsidR="00F85C99" w:rsidRPr="002F6A28" w:rsidP="002F6A28" w14:paraId="530F24B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6FFA27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07CAD4" w14:textId="77777777">
            <w:pPr>
              <w:spacing w:before="120" w:after="120"/>
              <w:rPr>
                <w:bCs/>
              </w:rPr>
            </w:pPr>
            <w:r w:rsidRPr="002F6A28">
              <w:rPr>
                <w:b/>
              </w:rPr>
              <w:t>Final date for comments:</w:t>
            </w:r>
            <w:r w:rsidRPr="00C379C8" w:rsidR="00EE3A11">
              <w:t xml:space="preserve"> 18 October 2026</w:t>
            </w:r>
          </w:p>
          <w:p w:rsidR="000C3B6C" w:rsidRPr="00E3324D" w:rsidP="000C3B6C" w14:paraId="7DFCF19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BCC3D9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648648" w14:textId="77777777">
            <w:r w:rsidRPr="00CE6C29">
              <w:t>WTO/TBT National Notification and Enquiry Center of the People's Republic of China</w:t>
            </w:r>
          </w:p>
          <w:p w:rsidR="00CE6C29" w:rsidRPr="00CE6C29" w:rsidP="000C3B6C" w14:paraId="4C802E54" w14:textId="77777777">
            <w:r w:rsidRPr="00CE6C29">
              <w:t>Tel</w:t>
            </w:r>
            <w:r w:rsidRPr="00CE6C29">
              <w:rPr>
                <w:rFonts w:ascii="MS Mincho" w:eastAsia="MS Mincho" w:hAnsi="MS Mincho" w:cs="MS Mincho"/>
              </w:rPr>
              <w:t>：</w:t>
            </w:r>
            <w:r w:rsidRPr="00CE6C29">
              <w:t>+86 10 57954633/ 57954642</w:t>
            </w:r>
          </w:p>
          <w:p w:rsidR="00CE6C29" w:rsidRPr="00CE6C29" w:rsidP="000C3B6C" w14:paraId="6C7E32DE"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7C05ED2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B7F0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91AE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B26CE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F09092" w14:textId="77777777">
    <w:pPr>
      <w:pStyle w:val="Header"/>
      <w:pBdr>
        <w:bottom w:val="single" w:sz="4" w:space="1" w:color="auto"/>
      </w:pBdr>
      <w:tabs>
        <w:tab w:val="clear" w:pos="4513"/>
        <w:tab w:val="clear" w:pos="9027"/>
      </w:tabs>
      <w:jc w:val="center"/>
    </w:pPr>
    <w:r w:rsidRPr="002F6A28">
      <w:t>tbtSymbol</w:t>
    </w:r>
  </w:p>
  <w:p w:rsidR="009239F7" w:rsidRPr="002F6A28" w:rsidP="009239F7" w14:paraId="6FE71EE2" w14:textId="77777777">
    <w:pPr>
      <w:pStyle w:val="Header"/>
      <w:pBdr>
        <w:bottom w:val="single" w:sz="4" w:space="1" w:color="auto"/>
      </w:pBdr>
      <w:tabs>
        <w:tab w:val="clear" w:pos="4513"/>
        <w:tab w:val="clear" w:pos="9027"/>
      </w:tabs>
      <w:jc w:val="center"/>
    </w:pPr>
  </w:p>
  <w:p w:rsidR="009239F7" w:rsidRPr="002F6A28" w:rsidP="009239F7" w14:paraId="1098B4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4B71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DE19B8" w14:textId="77777777">
    <w:pPr>
      <w:pStyle w:val="Header"/>
      <w:pBdr>
        <w:bottom w:val="single" w:sz="4" w:space="1" w:color="auto"/>
      </w:pBdr>
      <w:tabs>
        <w:tab w:val="clear" w:pos="4513"/>
        <w:tab w:val="clear" w:pos="9027"/>
      </w:tabs>
      <w:jc w:val="center"/>
    </w:pPr>
    <w:bookmarkStart w:id="0" w:name="spsSymbolHeader"/>
    <w:r w:rsidRPr="002F6A28">
      <w:t>G/TBT/N/CHN/2332</w:t>
    </w:r>
    <w:bookmarkEnd w:id="0"/>
  </w:p>
  <w:p w:rsidR="009239F7" w:rsidRPr="002F6A28" w:rsidP="009239F7" w14:paraId="278D6330" w14:textId="77777777">
    <w:pPr>
      <w:pStyle w:val="Header"/>
      <w:pBdr>
        <w:bottom w:val="single" w:sz="4" w:space="1" w:color="auto"/>
      </w:pBdr>
      <w:tabs>
        <w:tab w:val="clear" w:pos="4513"/>
        <w:tab w:val="clear" w:pos="9027"/>
      </w:tabs>
      <w:jc w:val="center"/>
    </w:pPr>
  </w:p>
  <w:p w:rsidR="009239F7" w:rsidRPr="002F6A28" w:rsidP="009239F7" w14:paraId="7622FC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4C38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0DB73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D8260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372831" w14:textId="77777777">
          <w:pPr>
            <w:jc w:val="right"/>
            <w:rPr>
              <w:b/>
              <w:color w:val="FF0000"/>
              <w:szCs w:val="16"/>
            </w:rPr>
          </w:pPr>
        </w:p>
      </w:tc>
    </w:tr>
    <w:bookmarkEnd w:id="1"/>
    <w:tr w14:paraId="6B1BF55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3B9E6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E382624" w14:textId="77777777">
          <w:pPr>
            <w:jc w:val="right"/>
            <w:rPr>
              <w:b/>
              <w:szCs w:val="16"/>
            </w:rPr>
          </w:pPr>
        </w:p>
      </w:tc>
    </w:tr>
    <w:tr w14:paraId="729E443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A9EEDC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E14E4E7" w14:textId="77777777">
          <w:pPr>
            <w:jc w:val="right"/>
            <w:rPr>
              <w:b/>
              <w:szCs w:val="16"/>
            </w:rPr>
          </w:pPr>
          <w:bookmarkStart w:id="2" w:name="bmkSymbols"/>
          <w:r w:rsidRPr="002F6A28">
            <w:rPr>
              <w:b/>
              <w:szCs w:val="16"/>
            </w:rPr>
            <w:t>G/TBT/N/CHN/2332</w:t>
          </w:r>
          <w:bookmarkEnd w:id="2"/>
        </w:p>
      </w:tc>
    </w:tr>
    <w:tr w14:paraId="7A4181C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AAD036" w14:textId="77777777"/>
      </w:tc>
      <w:tc>
        <w:tcPr>
          <w:tcW w:w="5448" w:type="dxa"/>
          <w:gridSpan w:val="2"/>
          <w:shd w:val="clear" w:color="auto" w:fill="FFFFFF"/>
          <w:tcMar>
            <w:left w:w="108" w:type="dxa"/>
            <w:right w:w="108" w:type="dxa"/>
          </w:tcMar>
          <w:vAlign w:val="center"/>
        </w:tcPr>
        <w:p w:rsidR="00ED54E0" w:rsidRPr="009239F7" w:rsidP="00B801E9" w14:paraId="00027B51" w14:textId="77777777">
          <w:pPr>
            <w:jc w:val="right"/>
            <w:rPr>
              <w:szCs w:val="16"/>
            </w:rPr>
          </w:pPr>
          <w:bookmarkStart w:id="3" w:name="spsDateDistribution"/>
          <w:bookmarkStart w:id="4" w:name="bmkDate"/>
          <w:r w:rsidRPr="009239F7">
            <w:rPr>
              <w:szCs w:val="16"/>
            </w:rPr>
            <w:t>19 August 2026</w:t>
          </w:r>
          <w:bookmarkEnd w:id="3"/>
          <w:bookmarkEnd w:id="4"/>
        </w:p>
      </w:tc>
    </w:tr>
    <w:tr w14:paraId="6824DE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1CA7B4" w14:textId="77777777">
          <w:pPr>
            <w:jc w:val="left"/>
            <w:rPr>
              <w:b/>
            </w:rPr>
          </w:pPr>
          <w:bookmarkStart w:id="5" w:name="bmkSerial"/>
          <w:r>
            <w:rPr>
              <w:rFonts w:ascii="Verdana" w:eastAsia="Verdana" w:hAnsi="Verdana" w:cs="Verdana"/>
              <w:b w:val="0"/>
              <w:color w:val="FF0000"/>
              <w:sz w:val="18"/>
            </w:rPr>
            <w:t>(26-5796)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5A881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5AFA5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66D1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88FE54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44345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72592276">
    <w:abstractNumId w:val="9"/>
  </w:num>
  <w:num w:numId="2" w16cid:durableId="948203280">
    <w:abstractNumId w:val="7"/>
  </w:num>
  <w:num w:numId="3" w16cid:durableId="1338074177">
    <w:abstractNumId w:val="6"/>
  </w:num>
  <w:num w:numId="4" w16cid:durableId="550118227">
    <w:abstractNumId w:val="5"/>
  </w:num>
  <w:num w:numId="5" w16cid:durableId="1883202165">
    <w:abstractNumId w:val="4"/>
  </w:num>
  <w:num w:numId="6" w16cid:durableId="1240821662">
    <w:abstractNumId w:val="12"/>
  </w:num>
  <w:num w:numId="7" w16cid:durableId="1587768230">
    <w:abstractNumId w:val="11"/>
  </w:num>
  <w:num w:numId="8" w16cid:durableId="608969456">
    <w:abstractNumId w:val="10"/>
  </w:num>
  <w:num w:numId="9" w16cid:durableId="1672684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95070">
    <w:abstractNumId w:val="13"/>
  </w:num>
  <w:num w:numId="11" w16cid:durableId="1663309383">
    <w:abstractNumId w:val="8"/>
  </w:num>
  <w:num w:numId="12" w16cid:durableId="336470056">
    <w:abstractNumId w:val="3"/>
  </w:num>
  <w:num w:numId="13" w16cid:durableId="604270935">
    <w:abstractNumId w:val="2"/>
  </w:num>
  <w:num w:numId="14" w16cid:durableId="366950835">
    <w:abstractNumId w:val="1"/>
  </w:num>
  <w:num w:numId="15" w16cid:durableId="669411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511F"/>
    <w:rsid w:val="002C23DE"/>
    <w:rsid w:val="002D21E3"/>
    <w:rsid w:val="002E174F"/>
    <w:rsid w:val="002F6A28"/>
    <w:rsid w:val="00303D9D"/>
    <w:rsid w:val="00304AAE"/>
    <w:rsid w:val="00305616"/>
    <w:rsid w:val="003124EC"/>
    <w:rsid w:val="00320A1B"/>
    <w:rsid w:val="00330B7F"/>
    <w:rsid w:val="003531C5"/>
    <w:rsid w:val="003572B4"/>
    <w:rsid w:val="00366229"/>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6B50"/>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084"/>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82387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0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C1C54FB-8DA5-4677-96A8-430A339D5BF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2026-08-19T09:47:00Z</dcterms:created>
  <dcterms:modified xsi:type="dcterms:W3CDTF">2026-08-19T09:47:00Z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