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D75D20" w14:textId="77777777">
      <w:pPr>
        <w:pStyle w:val="Title"/>
        <w:rPr>
          <w:caps w:val="0"/>
          <w:kern w:val="0"/>
        </w:rPr>
      </w:pPr>
      <w:r w:rsidRPr="002F6A28">
        <w:rPr>
          <w:caps w:val="0"/>
          <w:kern w:val="0"/>
        </w:rPr>
        <w:t>NOTIFICATION</w:t>
      </w:r>
    </w:p>
    <w:p w:rsidR="009239F7" w:rsidRPr="002F6A28" w:rsidP="002F6A28" w14:paraId="221C6327" w14:textId="77777777">
      <w:pPr>
        <w:jc w:val="center"/>
      </w:pPr>
      <w:r w:rsidRPr="002F6A28">
        <w:t>The following notification is being circulated in accordance with Article 10.6</w:t>
      </w:r>
    </w:p>
    <w:p w:rsidR="009239F7" w:rsidRPr="002F6A28" w:rsidP="002F6A28" w14:paraId="3614906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5E264C" w14:textId="77777777" w:rsidTr="00DB13FE">
        <w:tblPrEx>
          <w:tblW w:w="5000" w:type="pct"/>
          <w:tblLayout w:type="fixed"/>
          <w:tblLook w:val="0000"/>
        </w:tblPrEx>
        <w:tc>
          <w:tcPr>
            <w:tcW w:w="607" w:type="dxa"/>
            <w:tcBorders>
              <w:top w:val="double" w:sz="4" w:space="0" w:color="auto"/>
            </w:tcBorders>
          </w:tcPr>
          <w:p w:rsidR="00F85C99" w:rsidRPr="002F6A28" w:rsidP="002F6A28" w14:paraId="4DF5ADD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51A0D4E"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337D562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C12EDED" w14:textId="77777777" w:rsidTr="00DB13FE">
        <w:tblPrEx>
          <w:tblW w:w="5000" w:type="pct"/>
          <w:tblLayout w:type="fixed"/>
          <w:tblLook w:val="0000"/>
        </w:tblPrEx>
        <w:tc>
          <w:tcPr>
            <w:tcW w:w="607" w:type="dxa"/>
          </w:tcPr>
          <w:p w:rsidR="00F85C99" w:rsidRPr="002F6A28" w:rsidP="002F6A28" w14:paraId="38F02A8B" w14:textId="77777777">
            <w:pPr>
              <w:spacing w:before="120" w:after="120"/>
              <w:jc w:val="left"/>
            </w:pPr>
            <w:r w:rsidRPr="002F6A28">
              <w:rPr>
                <w:b/>
              </w:rPr>
              <w:t>2.</w:t>
            </w:r>
          </w:p>
        </w:tc>
        <w:tc>
          <w:tcPr>
            <w:tcW w:w="8373" w:type="dxa"/>
          </w:tcPr>
          <w:p w:rsidR="00F85C99" w:rsidRPr="002F6A28" w:rsidP="000C3B6C" w14:paraId="709CF6C7" w14:textId="77777777">
            <w:pPr>
              <w:spacing w:before="120" w:after="120"/>
            </w:pPr>
            <w:r w:rsidRPr="002F6A28">
              <w:rPr>
                <w:b/>
              </w:rPr>
              <w:t>Agency responsible:</w:t>
            </w:r>
            <w:r w:rsidRPr="00C379C8" w:rsidR="00EE3A11">
              <w:t xml:space="preserve"> </w:t>
            </w:r>
          </w:p>
          <w:p w:rsidR="00EE3A11" w:rsidRPr="00C379C8" w:rsidP="000C3B6C" w14:paraId="50B419CB" w14:textId="77777777">
            <w:r w:rsidRPr="00C379C8">
              <w:t>European Commission</w:t>
            </w:r>
          </w:p>
          <w:p w:rsidR="00EE3A11" w:rsidRPr="00C379C8" w:rsidP="000C3B6C" w14:paraId="284E50FF" w14:textId="77777777">
            <w:r w:rsidRPr="00C379C8">
              <w:t>EU-TBT Enquiry Point,</w:t>
            </w:r>
          </w:p>
          <w:p w:rsidR="00EE3A11" w:rsidRPr="00C379C8" w:rsidP="000C3B6C" w14:paraId="5F860EB7" w14:textId="77777777">
            <w:r w:rsidRPr="00C379C8">
              <w:t>Fax: +(32) 2 299 80 43,</w:t>
            </w:r>
          </w:p>
          <w:p w:rsidR="00EE3A11" w:rsidRPr="00C379C8" w:rsidP="000C3B6C" w14:paraId="34EF78A5" w14:textId="77777777">
            <w:r w:rsidRPr="00C379C8">
              <w:t xml:space="preserve">E-mail: </w:t>
            </w:r>
            <w:hyperlink r:id="rId6" w:history="1">
              <w:r w:rsidRPr="00C379C8">
                <w:rPr>
                  <w:color w:val="0000FF"/>
                  <w:u w:val="single"/>
                </w:rPr>
                <w:t>grow-eu-tbt@ec.europa.eu</w:t>
              </w:r>
            </w:hyperlink>
          </w:p>
          <w:p w:rsidR="00EE3A11" w:rsidRPr="00C379C8" w:rsidP="000C3B6C" w14:paraId="61F41693"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1F812F4C" w14:textId="77777777" w:rsidTr="00DB13FE">
        <w:tblPrEx>
          <w:tblW w:w="5000" w:type="pct"/>
          <w:tblLayout w:type="fixed"/>
          <w:tblLook w:val="0000"/>
        </w:tblPrEx>
        <w:tc>
          <w:tcPr>
            <w:tcW w:w="607" w:type="dxa"/>
          </w:tcPr>
          <w:p w:rsidR="00F85C99" w:rsidRPr="002F6A28" w:rsidP="002F6A28" w14:paraId="2D3E85D9" w14:textId="77777777">
            <w:pPr>
              <w:spacing w:before="120" w:after="120"/>
              <w:jc w:val="left"/>
              <w:rPr>
                <w:b/>
              </w:rPr>
            </w:pPr>
            <w:r w:rsidRPr="002F6A28">
              <w:rPr>
                <w:b/>
              </w:rPr>
              <w:t>3.</w:t>
            </w:r>
          </w:p>
        </w:tc>
        <w:tc>
          <w:tcPr>
            <w:tcW w:w="8373" w:type="dxa"/>
          </w:tcPr>
          <w:p w:rsidR="00F85C99" w:rsidRPr="0058336F" w:rsidP="002F6A28" w14:paraId="52A1AD4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B680250" w14:textId="77777777" w:rsidTr="00DB13FE">
        <w:tblPrEx>
          <w:tblW w:w="5000" w:type="pct"/>
          <w:tblLayout w:type="fixed"/>
          <w:tblLook w:val="0000"/>
        </w:tblPrEx>
        <w:tc>
          <w:tcPr>
            <w:tcW w:w="607" w:type="dxa"/>
          </w:tcPr>
          <w:p w:rsidR="00F85C99" w:rsidRPr="002F6A28" w:rsidP="002F6A28" w14:paraId="3A003A6C" w14:textId="77777777">
            <w:pPr>
              <w:spacing w:before="120" w:after="120"/>
              <w:jc w:val="left"/>
            </w:pPr>
            <w:r w:rsidRPr="002F6A28">
              <w:rPr>
                <w:b/>
              </w:rPr>
              <w:t>4.</w:t>
            </w:r>
          </w:p>
        </w:tc>
        <w:tc>
          <w:tcPr>
            <w:tcW w:w="8373" w:type="dxa"/>
          </w:tcPr>
          <w:p w:rsidR="00F85C99" w:rsidRPr="002F6A28" w:rsidP="002F6A28" w14:paraId="35CE03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Hazardous substances and mixtures </w:t>
            </w:r>
          </w:p>
        </w:tc>
      </w:tr>
      <w:tr w14:paraId="592D0D1C" w14:textId="77777777" w:rsidTr="00DB13FE">
        <w:tblPrEx>
          <w:tblW w:w="5000" w:type="pct"/>
          <w:tblLayout w:type="fixed"/>
          <w:tblLook w:val="0000"/>
        </w:tblPrEx>
        <w:tc>
          <w:tcPr>
            <w:tcW w:w="607" w:type="dxa"/>
          </w:tcPr>
          <w:p w:rsidR="00F85C99" w:rsidRPr="002F6A28" w:rsidP="002F6A28" w14:paraId="202D8A3C" w14:textId="77777777">
            <w:pPr>
              <w:spacing w:before="120" w:after="120"/>
              <w:jc w:val="left"/>
            </w:pPr>
            <w:r w:rsidRPr="002F6A28">
              <w:rPr>
                <w:b/>
              </w:rPr>
              <w:t>5.</w:t>
            </w:r>
          </w:p>
        </w:tc>
        <w:tc>
          <w:tcPr>
            <w:tcW w:w="8373" w:type="dxa"/>
          </w:tcPr>
          <w:p w:rsidR="00F85C99" w:rsidP="002F6A28" w14:paraId="0E1CEB1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Delegated Regulation amending for the purposes of its adaptation to technical and scientific progress, Regulation (EC) No 1272/2008 of the European Parliament and of the Council on classification, labelling and packaging of substances and mixtures, and correcting that Regulation; (7 page(s), in English), (140 page(s), in English)</w:t>
            </w:r>
          </w:p>
          <w:p w:rsidR="000C3B6C" w:rsidRPr="000C3B6C" w:rsidP="002F6A28" w14:paraId="06740CF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83D45" w:rsidRPr="00CE6C29" w:rsidP="002F6A28" w14:paraId="2D22A611" w14:textId="77777777">
            <w:pPr>
              <w:pBdr>
                <w:top w:val="none" w:sz="0" w:space="4" w:color="auto"/>
              </w:pBdr>
              <w:rPr>
                <w:iCs/>
              </w:rPr>
            </w:pPr>
            <w:hyperlink r:id="rId8" w:tgtFrame="_blank" w:history="1">
              <w:r w:rsidRPr="00CE6C29">
                <w:rPr>
                  <w:iCs/>
                  <w:color w:val="0000FF"/>
                  <w:u w:val="single"/>
                </w:rPr>
                <w:t>https://members.wto.org/crnattachments/2026/TBT/EEC/26_04258_00_e.pdf</w:t>
              </w:r>
            </w:hyperlink>
          </w:p>
          <w:p w:rsidR="00583D45" w:rsidRPr="00CE6C29" w:rsidP="002F6A28" w14:paraId="2549AC73" w14:textId="77777777">
            <w:pPr>
              <w:pBdr>
                <w:bottom w:val="none" w:sz="0" w:space="4" w:color="auto"/>
              </w:pBdr>
              <w:rPr>
                <w:iCs/>
              </w:rPr>
            </w:pPr>
            <w:hyperlink r:id="rId9" w:tgtFrame="_blank" w:history="1">
              <w:r w:rsidRPr="00CE6C29">
                <w:rPr>
                  <w:iCs/>
                  <w:color w:val="0000FF"/>
                  <w:u w:val="single"/>
                </w:rPr>
                <w:t>https://members.wto.org/crnattachments/2026/TBT/EEC/26_04258_01_e.pdf</w:t>
              </w:r>
            </w:hyperlink>
          </w:p>
          <w:p w:rsidR="00583D45" w:rsidRPr="00E87536" w:rsidP="002F6A28" w14:paraId="16697C31" w14:textId="77777777">
            <w:pPr>
              <w:rPr>
                <w:iCs/>
                <w:lang w:val="fr-FR"/>
              </w:rPr>
            </w:pPr>
            <w:r w:rsidRPr="00E87536">
              <w:rPr>
                <w:iCs/>
                <w:lang w:val="fr-FR"/>
              </w:rPr>
              <w:t>European Commission</w:t>
            </w:r>
          </w:p>
          <w:p w:rsidR="00583D45" w:rsidRPr="00E87536" w:rsidP="002F6A28" w14:paraId="67CE110E" w14:textId="77777777">
            <w:pPr>
              <w:rPr>
                <w:iCs/>
                <w:lang w:val="fr-FR"/>
              </w:rPr>
            </w:pPr>
            <w:r w:rsidRPr="00E87536">
              <w:rPr>
                <w:iCs/>
                <w:lang w:val="fr-FR"/>
              </w:rPr>
              <w:t>EU-TBT Enquiry Point</w:t>
            </w:r>
          </w:p>
          <w:p w:rsidR="00583D45" w:rsidRPr="00E87536" w:rsidP="002F6A28" w14:paraId="67713B32" w14:textId="77777777">
            <w:pPr>
              <w:rPr>
                <w:iCs/>
                <w:lang w:val="fr-FR"/>
              </w:rPr>
            </w:pPr>
            <w:r w:rsidRPr="00E87536">
              <w:rPr>
                <w:iCs/>
                <w:lang w:val="fr-FR"/>
              </w:rPr>
              <w:t>Fax: + (32) 2 299 80 43</w:t>
            </w:r>
          </w:p>
          <w:p w:rsidR="00583D45" w:rsidRPr="00E87536" w:rsidP="002F6A28" w14:paraId="7DF8E9B1" w14:textId="77777777">
            <w:pPr>
              <w:rPr>
                <w:iCs/>
                <w:lang w:val="fr-FR"/>
              </w:rPr>
            </w:pPr>
            <w:r w:rsidRPr="00E87536">
              <w:rPr>
                <w:iCs/>
                <w:lang w:val="fr-FR"/>
              </w:rPr>
              <w:t xml:space="preserve">E-mail: </w:t>
            </w:r>
            <w:hyperlink r:id="rId6" w:history="1">
              <w:r w:rsidRPr="00E87536">
                <w:rPr>
                  <w:iCs/>
                  <w:color w:val="0000FF"/>
                  <w:u w:val="single"/>
                  <w:lang w:val="fr-FR"/>
                </w:rPr>
                <w:t>grow-eu-tbt@ec.europa.eu</w:t>
              </w:r>
            </w:hyperlink>
          </w:p>
          <w:p w:rsidR="00583D45" w:rsidRPr="00CE6C29" w:rsidP="002F6A28" w14:paraId="512A2728"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4566F489" w14:textId="77777777" w:rsidTr="00DB13FE">
        <w:tblPrEx>
          <w:tblW w:w="5000" w:type="pct"/>
          <w:tblLayout w:type="fixed"/>
          <w:tblLook w:val="0000"/>
        </w:tblPrEx>
        <w:tc>
          <w:tcPr>
            <w:tcW w:w="607" w:type="dxa"/>
          </w:tcPr>
          <w:p w:rsidR="00F85C99" w:rsidRPr="002F6A28" w:rsidP="002F6A28" w14:paraId="305CD45F" w14:textId="77777777">
            <w:pPr>
              <w:spacing w:before="120" w:after="120"/>
              <w:jc w:val="left"/>
              <w:rPr>
                <w:b/>
              </w:rPr>
            </w:pPr>
            <w:r w:rsidRPr="002F6A28">
              <w:rPr>
                <w:b/>
              </w:rPr>
              <w:t>6.</w:t>
            </w:r>
          </w:p>
        </w:tc>
        <w:tc>
          <w:tcPr>
            <w:tcW w:w="8373" w:type="dxa"/>
          </w:tcPr>
          <w:p w:rsidR="00F85C99" w:rsidRPr="002F6A28" w:rsidP="00E87536" w14:paraId="744C1B3F" w14:textId="77777777">
            <w:pPr>
              <w:spacing w:before="100" w:after="100"/>
              <w:rPr>
                <w:b/>
              </w:rPr>
            </w:pPr>
            <w:r w:rsidRPr="002F6A28">
              <w:rPr>
                <w:b/>
              </w:rPr>
              <w:t>Description of content:</w:t>
            </w:r>
            <w:r w:rsidRPr="00C379C8" w:rsidR="00FE448B">
              <w:t xml:space="preserve"> Within the European Union, the provisions and criteria for the classification, labelling, and packaging of substances and mixtures are harmonised by Regulation (EC) No 1272/2008 on classification, labelling and packaging of substances and mixtures (hereafter 'CLP Regulation). The CLP Regulation incorporates the criteria and hazard communication elements of the United Nations' Globally Harmonized System of Classification and Labelling of Chemicals (GHS).</w:t>
            </w:r>
          </w:p>
          <w:p w:rsidR="00FE448B" w:rsidRPr="00C379C8" w:rsidP="00E87536" w14:paraId="26BE3ED1" w14:textId="77777777">
            <w:pPr>
              <w:spacing w:before="100" w:after="100"/>
            </w:pPr>
            <w:r w:rsidRPr="00C379C8">
              <w:t xml:space="preserve">The GHS is regularly revised by the United Nations Economic and Social Council's Sub-Committee of Experts on the GHS, to take into account new scientific information, technical progress, and implementation experiences. These revisions often update classification </w:t>
            </w:r>
            <w:r w:rsidRPr="00C379C8">
              <w:t>criteria, hazard statements, precautionary statements, and labelling elements to enhance the protection of human health and the environment, while facilitating international trade.</w:t>
            </w:r>
          </w:p>
          <w:p w:rsidR="00FE448B" w:rsidRPr="00C379C8" w:rsidP="00E87536" w14:paraId="6B7CA660" w14:textId="77777777">
            <w:pPr>
              <w:spacing w:before="100" w:after="100"/>
            </w:pPr>
            <w:r w:rsidRPr="00C379C8">
              <w:t>The EU has committed to implementing the GHS. To ensure continued alignment with the GHS and support the objective of harmonising chemical hazard classification and communication at the international level, the CLP Regulation is periodically amended. These amendments reflect the biannual revisions of the classification criteria and labelling rules of the GHS at the UN level.</w:t>
            </w:r>
          </w:p>
          <w:p w:rsidR="00FE448B" w:rsidRPr="00C379C8" w:rsidP="00E87536" w14:paraId="28079189" w14:textId="77777777">
            <w:pPr>
              <w:spacing w:before="100" w:after="100"/>
            </w:pPr>
            <w:r w:rsidRPr="00C379C8">
              <w:t>This initiative adapts the Annexes to the CLP Regulation to bring them in line with GHS revisions 8 to 10, adopted respectively in 2018, 2020 and 2022. It also partially implements GHS revision 11 as regards aerosols and skin sensitisers (mixtures).</w:t>
            </w:r>
          </w:p>
        </w:tc>
      </w:tr>
      <w:tr w14:paraId="13715E16" w14:textId="77777777" w:rsidTr="00DB13FE">
        <w:tblPrEx>
          <w:tblW w:w="5000" w:type="pct"/>
          <w:tblLayout w:type="fixed"/>
          <w:tblLook w:val="0000"/>
        </w:tblPrEx>
        <w:tc>
          <w:tcPr>
            <w:tcW w:w="607" w:type="dxa"/>
          </w:tcPr>
          <w:p w:rsidR="00F85C99" w:rsidRPr="002F6A28" w:rsidP="002F6A28" w14:paraId="19BFF55A" w14:textId="77777777">
            <w:pPr>
              <w:spacing w:before="120" w:after="120"/>
              <w:jc w:val="left"/>
              <w:rPr>
                <w:b/>
              </w:rPr>
            </w:pPr>
            <w:r w:rsidRPr="002F6A28">
              <w:rPr>
                <w:b/>
              </w:rPr>
              <w:t>7.</w:t>
            </w:r>
          </w:p>
        </w:tc>
        <w:tc>
          <w:tcPr>
            <w:tcW w:w="8373" w:type="dxa"/>
          </w:tcPr>
          <w:p w:rsidR="00F85C99" w:rsidRPr="002F6A28" w:rsidP="00E87536" w14:paraId="74343F68" w14:textId="77777777">
            <w:pPr>
              <w:spacing w:before="100" w:after="100"/>
              <w:rPr>
                <w:b/>
              </w:rPr>
            </w:pPr>
            <w:r w:rsidRPr="002F6A28">
              <w:rPr>
                <w:b/>
              </w:rPr>
              <w:t>Objective and rationale, including the nature of urgent problems where applicable:</w:t>
            </w:r>
            <w:r w:rsidRPr="00C379C8" w:rsidR="00EE3A11">
              <w:t xml:space="preserve"> Regulation (EC) No 1272/2008 (the 'CLP Regulation') implements the United Nations' Globally Harmonised System of Classification and Labelling of Chemicals (GHS) in the EU. In line with the GHS, the CLP Regulation lays down rules for suppliers on identifying hazardous chemicals and informing users about them through labelling. This initiative amends the CLP Regulation to bring it in line with GHS revisions 8 to 10, adopted respectively in 2018, 2020 and 2022. It also partially implements GHS revision 11 as regards aerosols and skin sensitisers (mixtures). The amendments brought by this Regulation will ensure the continued alignment of the CLP Regulation with GHS and support the objective of harmonising chemical hazard classification and communication at the international level. ; Protection of human health or safety; Protection of the environment</w:t>
            </w:r>
          </w:p>
        </w:tc>
      </w:tr>
      <w:tr w14:paraId="673F96AB" w14:textId="77777777" w:rsidTr="00DB13FE">
        <w:tblPrEx>
          <w:tblW w:w="5000" w:type="pct"/>
          <w:tblLayout w:type="fixed"/>
          <w:tblLook w:val="0000"/>
        </w:tblPrEx>
        <w:tc>
          <w:tcPr>
            <w:tcW w:w="607" w:type="dxa"/>
          </w:tcPr>
          <w:p w:rsidR="00F85C99" w:rsidRPr="002F6A28" w:rsidP="009E75ED" w14:paraId="7F333BA5" w14:textId="77777777">
            <w:pPr>
              <w:spacing w:before="120" w:after="120"/>
              <w:jc w:val="left"/>
              <w:rPr>
                <w:b/>
              </w:rPr>
            </w:pPr>
            <w:r w:rsidRPr="002F6A28">
              <w:rPr>
                <w:b/>
              </w:rPr>
              <w:t>8.</w:t>
            </w:r>
          </w:p>
        </w:tc>
        <w:tc>
          <w:tcPr>
            <w:tcW w:w="8373" w:type="dxa"/>
          </w:tcPr>
          <w:p w:rsidR="000C3B6C" w:rsidRPr="00EC00D2" w:rsidP="00E87536" w14:paraId="6B8417FC" w14:textId="77777777">
            <w:pPr>
              <w:spacing w:before="100" w:after="100"/>
              <w:rPr>
                <w:bCs/>
              </w:rPr>
            </w:pPr>
            <w:r w:rsidRPr="002F6A28">
              <w:rPr>
                <w:b/>
              </w:rPr>
              <w:t>Relevant documents:</w:t>
            </w:r>
            <w:r w:rsidRPr="002F6A28" w:rsidR="00EE3A11">
              <w:t xml:space="preserve"> </w:t>
            </w:r>
          </w:p>
          <w:p w:rsidR="00EE3A11" w:rsidRPr="002F6A28" w:rsidP="00E87536" w14:paraId="4598FFE1" w14:textId="77777777">
            <w:pPr>
              <w:spacing w:before="100" w:after="100"/>
            </w:pPr>
            <w:r w:rsidRPr="002F6A28">
              <w:t xml:space="preserve">Regulation (EC) No 1272/2008 of the European Parliament and of the Council of 16 December 2008 on classification, labelling and packaging of substances and mixtures, amending and repealing Directives 67/548/EEC and 1999/45/EC, and amending Regulation (EC) No 1907/2006, OJ L 353, 31.12.2008, p. 1, ELI: </w:t>
            </w:r>
            <w:hyperlink r:id="rId10" w:history="1">
              <w:r w:rsidRPr="002F6A28">
                <w:rPr>
                  <w:color w:val="0000FF"/>
                  <w:u w:val="single"/>
                </w:rPr>
                <w:t>http://data.europa.eu/eli/reg/2008/1272/oj</w:t>
              </w:r>
            </w:hyperlink>
            <w:r w:rsidRPr="002F6A28">
              <w:t>.;</w:t>
            </w:r>
          </w:p>
          <w:p w:rsidR="00EE3A11" w:rsidRPr="002F6A28" w:rsidP="00E87536" w14:paraId="199D32C8" w14:textId="77777777">
            <w:pPr>
              <w:spacing w:before="100" w:after="100"/>
            </w:pPr>
            <w:r w:rsidRPr="002F6A28">
              <w:t>Globally Harmonised System of classification and labelling of chemicals (GHS), Eighth revised edition:</w:t>
            </w:r>
            <w:hyperlink r:id="rId11" w:history="1">
              <w:r w:rsidRPr="002F6A28">
                <w:rPr>
                  <w:color w:val="0000FF"/>
                  <w:u w:val="single"/>
                </w:rPr>
                <w:t>https://unece.org/fileadmin/DAM/trans/danger/publi/ghs/ghs_rev08/ST-SG-AC10-30-Rev8e.pdf</w:t>
              </w:r>
            </w:hyperlink>
          </w:p>
          <w:p w:rsidR="00EE3A11" w:rsidRPr="002F6A28" w:rsidP="00E87536" w14:paraId="3EB1E68B" w14:textId="77777777">
            <w:pPr>
              <w:spacing w:before="100" w:after="100"/>
            </w:pPr>
            <w:r w:rsidRPr="002F6A28">
              <w:t xml:space="preserve">Globally Harmonised System of classification and labelling of chemicals (GHS), Ninth revised edition: </w:t>
            </w:r>
            <w:hyperlink r:id="rId12" w:history="1">
              <w:r w:rsidRPr="002F6A28">
                <w:rPr>
                  <w:color w:val="0000FF"/>
                  <w:u w:val="single"/>
                </w:rPr>
                <w:t>https://unece.org/sites/default/files/2021-09/GHS_Rev9E_0.pdf</w:t>
              </w:r>
            </w:hyperlink>
          </w:p>
          <w:p w:rsidR="00EE3A11" w:rsidRPr="002F6A28" w:rsidP="00E87536" w14:paraId="49E62BB3" w14:textId="77777777">
            <w:pPr>
              <w:spacing w:before="100" w:after="100"/>
            </w:pPr>
            <w:r w:rsidRPr="002F6A28">
              <w:t xml:space="preserve">Globally Harmonised System of classification and labelling of chemicals (GHS), Tenth revised edition: </w:t>
            </w:r>
            <w:hyperlink r:id="rId13" w:history="1">
              <w:r w:rsidRPr="002F6A28">
                <w:rPr>
                  <w:color w:val="0000FF"/>
                  <w:u w:val="single"/>
                </w:rPr>
                <w:t>https://unece.org/sites/default/files/2023-07/GHS%20Rev10e.pdf</w:t>
              </w:r>
            </w:hyperlink>
          </w:p>
          <w:p w:rsidR="00EE3A11" w:rsidRPr="002F6A28" w:rsidP="00E87536" w14:paraId="1E275DA0" w14:textId="77777777">
            <w:pPr>
              <w:spacing w:before="100" w:after="100"/>
            </w:pPr>
            <w:r w:rsidRPr="002F6A28">
              <w:t xml:space="preserve">Amendments to the tenth revised edition of the Globally Harmonized System of Classification and Labelling of Chemicals (GHS) (ST/SG/AC.10/30/Rev.10): </w:t>
            </w:r>
            <w:hyperlink r:id="rId14" w:history="1">
              <w:r w:rsidRPr="002F6A28">
                <w:rPr>
                  <w:color w:val="0000FF"/>
                  <w:u w:val="single"/>
                </w:rPr>
                <w:t>https://unece.org/transport/documents/2025/01/reports/amendments-tenth-revised-edition-globally-harmonized-system</w:t>
              </w:r>
            </w:hyperlink>
          </w:p>
        </w:tc>
      </w:tr>
      <w:tr w14:paraId="19042A5B" w14:textId="77777777" w:rsidTr="00DB13FE">
        <w:tblPrEx>
          <w:tblW w:w="5000" w:type="pct"/>
          <w:tblLayout w:type="fixed"/>
          <w:tblLook w:val="0000"/>
        </w:tblPrEx>
        <w:tc>
          <w:tcPr>
            <w:tcW w:w="607" w:type="dxa"/>
          </w:tcPr>
          <w:p w:rsidR="00EE3A11" w:rsidRPr="002F6A28" w:rsidP="002F6A28" w14:paraId="0D840C45" w14:textId="77777777">
            <w:pPr>
              <w:spacing w:before="120" w:after="120"/>
              <w:jc w:val="left"/>
              <w:rPr>
                <w:b/>
              </w:rPr>
            </w:pPr>
            <w:r w:rsidRPr="002F6A28">
              <w:rPr>
                <w:b/>
              </w:rPr>
              <w:t>9.</w:t>
            </w:r>
          </w:p>
        </w:tc>
        <w:tc>
          <w:tcPr>
            <w:tcW w:w="8373" w:type="dxa"/>
          </w:tcPr>
          <w:p w:rsidR="00EE3A11" w:rsidRPr="002F6A28" w:rsidP="00E87536" w14:paraId="1DD766FE" w14:textId="77777777">
            <w:pPr>
              <w:spacing w:before="100" w:after="100"/>
            </w:pPr>
            <w:r w:rsidRPr="002F6A28">
              <w:rPr>
                <w:b/>
              </w:rPr>
              <w:t>Proposed date of adoption:</w:t>
            </w:r>
            <w:r w:rsidRPr="00C379C8">
              <w:t xml:space="preserve"> Q4 2026</w:t>
            </w:r>
          </w:p>
          <w:p w:rsidR="00EE3A11" w:rsidRPr="002F6A28" w:rsidP="00E87536" w14:paraId="6B96F364" w14:textId="77777777">
            <w:pPr>
              <w:spacing w:before="100" w:after="100"/>
            </w:pPr>
            <w:r w:rsidRPr="002F6A28">
              <w:rPr>
                <w:b/>
              </w:rPr>
              <w:t>Proposed date of entry into force:</w:t>
            </w:r>
            <w:r w:rsidRPr="00C379C8">
              <w:t xml:space="preserve"> 20 days from publication in the Official Journal of the EU. The application of this Regulation is differed to ensure that business have sufficient time to adapt to the changes.</w:t>
            </w:r>
          </w:p>
        </w:tc>
      </w:tr>
      <w:tr w14:paraId="27C8D030" w14:textId="77777777" w:rsidTr="00DB13FE">
        <w:tblPrEx>
          <w:tblW w:w="5000" w:type="pct"/>
          <w:tblLayout w:type="fixed"/>
          <w:tblLook w:val="0000"/>
        </w:tblPrEx>
        <w:tc>
          <w:tcPr>
            <w:tcW w:w="607" w:type="dxa"/>
            <w:tcBorders>
              <w:bottom w:val="double" w:sz="4" w:space="0" w:color="auto"/>
            </w:tcBorders>
          </w:tcPr>
          <w:p w:rsidR="00F85C99" w:rsidRPr="002F6A28" w:rsidP="002F6A28" w14:paraId="4FD9B59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E18DF4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B39F304" w14:textId="77777777">
            <w:pPr>
              <w:spacing w:before="120" w:after="120"/>
              <w:rPr>
                <w:bCs/>
              </w:rPr>
            </w:pPr>
            <w:r w:rsidRPr="002F6A28">
              <w:rPr>
                <w:b/>
              </w:rPr>
              <w:t>Final date for comments:</w:t>
            </w:r>
            <w:r w:rsidRPr="00C379C8" w:rsidR="00EE3A11">
              <w:t xml:space="preserve"> 16 October 2026</w:t>
            </w:r>
          </w:p>
          <w:p w:rsidR="000C3B6C" w:rsidRPr="00E3324D" w:rsidP="000C3B6C" w14:paraId="092CCD0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6C2409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E87536" w:rsidP="000C3B6C" w14:paraId="3534996D" w14:textId="77777777">
            <w:pPr>
              <w:rPr>
                <w:lang w:val="fr-FR"/>
              </w:rPr>
            </w:pPr>
            <w:r w:rsidRPr="00E87536">
              <w:rPr>
                <w:lang w:val="fr-FR"/>
              </w:rPr>
              <w:t>European Commission,</w:t>
            </w:r>
          </w:p>
          <w:p w:rsidR="00CE6C29" w:rsidRPr="00E87536" w:rsidP="000C3B6C" w14:paraId="3DEEC9C2" w14:textId="77777777">
            <w:pPr>
              <w:rPr>
                <w:lang w:val="fr-FR"/>
              </w:rPr>
            </w:pPr>
            <w:r w:rsidRPr="00E87536">
              <w:rPr>
                <w:lang w:val="fr-FR"/>
              </w:rPr>
              <w:t>EU-TBT Enquiry Point,</w:t>
            </w:r>
          </w:p>
          <w:p w:rsidR="00CE6C29" w:rsidRPr="00E87536" w:rsidP="000C3B6C" w14:paraId="0CBEE52E" w14:textId="77777777">
            <w:pPr>
              <w:rPr>
                <w:lang w:val="fr-FR"/>
              </w:rPr>
            </w:pPr>
            <w:r w:rsidRPr="00E87536">
              <w:rPr>
                <w:lang w:val="fr-FR"/>
              </w:rPr>
              <w:t>Fax: + (32) 2 299 80 43,</w:t>
            </w:r>
          </w:p>
          <w:p w:rsidR="00CE6C29" w:rsidRPr="00E87536" w:rsidP="000C3B6C" w14:paraId="126AD70D" w14:textId="77777777">
            <w:pPr>
              <w:spacing w:after="120"/>
              <w:rPr>
                <w:lang w:val="fr-FR"/>
              </w:rPr>
            </w:pPr>
            <w:r w:rsidRPr="00E87536">
              <w:rPr>
                <w:lang w:val="fr-FR"/>
              </w:rPr>
              <w:t xml:space="preserve">E-mail: </w:t>
            </w:r>
            <w:hyperlink r:id="rId6" w:history="1">
              <w:r w:rsidRPr="00E87536">
                <w:rPr>
                  <w:color w:val="0000FF"/>
                  <w:u w:val="single"/>
                  <w:lang w:val="fr-FR"/>
                </w:rPr>
                <w:t>grow-eu-tbt@ec.europa.eu</w:t>
              </w:r>
            </w:hyperlink>
          </w:p>
        </w:tc>
      </w:tr>
    </w:tbl>
    <w:p w:rsidR="00EE3A11" w:rsidRPr="00E87536" w:rsidP="00887259" w14:paraId="5DE77955" w14:textId="77777777">
      <w:pPr>
        <w:jc w:val="center"/>
        <w:rPr>
          <w:lang w:val="fr-FR"/>
        </w:rP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6FFFA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C0112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E17374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F2B78B" w14:textId="77777777">
    <w:pPr>
      <w:pStyle w:val="Header"/>
      <w:pBdr>
        <w:bottom w:val="single" w:sz="4" w:space="1" w:color="auto"/>
      </w:pBdr>
      <w:tabs>
        <w:tab w:val="clear" w:pos="4513"/>
        <w:tab w:val="clear" w:pos="9027"/>
      </w:tabs>
      <w:jc w:val="center"/>
    </w:pPr>
    <w:r w:rsidRPr="002F6A28">
      <w:t>tbtSymbol</w:t>
    </w:r>
  </w:p>
  <w:p w:rsidR="009239F7" w:rsidRPr="002F6A28" w:rsidP="009239F7" w14:paraId="7E7837CB" w14:textId="77777777">
    <w:pPr>
      <w:pStyle w:val="Header"/>
      <w:pBdr>
        <w:bottom w:val="single" w:sz="4" w:space="1" w:color="auto"/>
      </w:pBdr>
      <w:tabs>
        <w:tab w:val="clear" w:pos="4513"/>
        <w:tab w:val="clear" w:pos="9027"/>
      </w:tabs>
      <w:jc w:val="center"/>
    </w:pPr>
  </w:p>
  <w:p w:rsidR="009239F7" w:rsidRPr="002F6A28" w:rsidP="009239F7" w14:paraId="650160F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F1546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587005" w14:textId="77777777">
    <w:pPr>
      <w:pStyle w:val="Header"/>
      <w:pBdr>
        <w:bottom w:val="single" w:sz="4" w:space="1" w:color="auto"/>
      </w:pBdr>
      <w:tabs>
        <w:tab w:val="clear" w:pos="4513"/>
        <w:tab w:val="clear" w:pos="9027"/>
      </w:tabs>
      <w:jc w:val="center"/>
    </w:pPr>
    <w:bookmarkStart w:id="0" w:name="spsSymbolHeader"/>
    <w:r w:rsidRPr="002F6A28">
      <w:t>G/TBT/N/EU/1234</w:t>
    </w:r>
    <w:bookmarkEnd w:id="0"/>
  </w:p>
  <w:p w:rsidR="009239F7" w:rsidRPr="002F6A28" w:rsidP="009239F7" w14:paraId="37CE2E3C" w14:textId="77777777">
    <w:pPr>
      <w:pStyle w:val="Header"/>
      <w:pBdr>
        <w:bottom w:val="single" w:sz="4" w:space="1" w:color="auto"/>
      </w:pBdr>
      <w:tabs>
        <w:tab w:val="clear" w:pos="4513"/>
        <w:tab w:val="clear" w:pos="9027"/>
      </w:tabs>
      <w:jc w:val="center"/>
    </w:pPr>
  </w:p>
  <w:p w:rsidR="009239F7" w:rsidRPr="002F6A28" w:rsidP="009239F7" w14:paraId="7BD073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DA05C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FDC29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C99A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3074CE" w14:textId="77777777">
          <w:pPr>
            <w:jc w:val="right"/>
            <w:rPr>
              <w:b/>
              <w:color w:val="FF0000"/>
              <w:szCs w:val="16"/>
            </w:rPr>
          </w:pPr>
        </w:p>
      </w:tc>
    </w:tr>
    <w:bookmarkEnd w:id="1"/>
    <w:tr w14:paraId="561B78A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41F57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6DA338" w14:textId="77777777">
          <w:pPr>
            <w:jc w:val="right"/>
            <w:rPr>
              <w:b/>
              <w:szCs w:val="16"/>
            </w:rPr>
          </w:pPr>
        </w:p>
      </w:tc>
    </w:tr>
    <w:tr w14:paraId="59B6A6E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EF97C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9F48BF" w14:textId="77777777">
          <w:pPr>
            <w:jc w:val="right"/>
            <w:rPr>
              <w:b/>
              <w:szCs w:val="16"/>
            </w:rPr>
          </w:pPr>
          <w:bookmarkStart w:id="2" w:name="bmkSymbols"/>
          <w:r w:rsidRPr="002F6A28">
            <w:rPr>
              <w:b/>
              <w:szCs w:val="16"/>
            </w:rPr>
            <w:t>G/TBT/N/EU/1234</w:t>
          </w:r>
          <w:bookmarkEnd w:id="2"/>
        </w:p>
      </w:tc>
    </w:tr>
    <w:tr w14:paraId="5A29812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F2E75EA" w14:textId="77777777"/>
      </w:tc>
      <w:tc>
        <w:tcPr>
          <w:tcW w:w="5448" w:type="dxa"/>
          <w:gridSpan w:val="2"/>
          <w:shd w:val="clear" w:color="auto" w:fill="FFFFFF"/>
          <w:tcMar>
            <w:left w:w="108" w:type="dxa"/>
            <w:right w:w="108" w:type="dxa"/>
          </w:tcMar>
          <w:vAlign w:val="center"/>
        </w:tcPr>
        <w:p w:rsidR="00ED54E0" w:rsidRPr="009239F7" w:rsidP="00B801E9" w14:paraId="446E651A" w14:textId="77777777">
          <w:pPr>
            <w:jc w:val="right"/>
            <w:rPr>
              <w:szCs w:val="16"/>
            </w:rPr>
          </w:pPr>
          <w:bookmarkStart w:id="3" w:name="spsDateDistribution"/>
          <w:bookmarkStart w:id="4" w:name="bmkDate"/>
          <w:r w:rsidRPr="009239F7">
            <w:rPr>
              <w:szCs w:val="16"/>
            </w:rPr>
            <w:t>17 August 2026</w:t>
          </w:r>
          <w:bookmarkEnd w:id="3"/>
          <w:bookmarkEnd w:id="4"/>
        </w:p>
      </w:tc>
    </w:tr>
    <w:tr w14:paraId="56F2F2A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4C3519" w14:textId="77777777">
          <w:pPr>
            <w:jc w:val="left"/>
            <w:rPr>
              <w:b/>
            </w:rPr>
          </w:pPr>
          <w:bookmarkStart w:id="5" w:name="bmkSerial"/>
          <w:r>
            <w:rPr>
              <w:rFonts w:ascii="Verdana" w:eastAsia="Verdana" w:hAnsi="Verdana" w:cs="Verdana"/>
              <w:b w:val="0"/>
              <w:color w:val="FF0000"/>
              <w:sz w:val="18"/>
            </w:rPr>
            <w:t>(26-5759)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9DAC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444322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153A35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0AD528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743E6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28640027">
    <w:abstractNumId w:val="9"/>
  </w:num>
  <w:num w:numId="2" w16cid:durableId="890071017">
    <w:abstractNumId w:val="7"/>
  </w:num>
  <w:num w:numId="3" w16cid:durableId="1998266749">
    <w:abstractNumId w:val="6"/>
  </w:num>
  <w:num w:numId="4" w16cid:durableId="1279678986">
    <w:abstractNumId w:val="5"/>
  </w:num>
  <w:num w:numId="5" w16cid:durableId="56050507">
    <w:abstractNumId w:val="4"/>
  </w:num>
  <w:num w:numId="6" w16cid:durableId="631134914">
    <w:abstractNumId w:val="12"/>
  </w:num>
  <w:num w:numId="7" w16cid:durableId="1466005198">
    <w:abstractNumId w:val="11"/>
  </w:num>
  <w:num w:numId="8" w16cid:durableId="1647931068">
    <w:abstractNumId w:val="10"/>
  </w:num>
  <w:num w:numId="9" w16cid:durableId="1970160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1295769">
    <w:abstractNumId w:val="13"/>
  </w:num>
  <w:num w:numId="11" w16cid:durableId="1473012656">
    <w:abstractNumId w:val="8"/>
  </w:num>
  <w:num w:numId="12" w16cid:durableId="738135689">
    <w:abstractNumId w:val="3"/>
  </w:num>
  <w:num w:numId="13" w16cid:durableId="227765039">
    <w:abstractNumId w:val="2"/>
  </w:num>
  <w:num w:numId="14" w16cid:durableId="1073118210">
    <w:abstractNumId w:val="1"/>
  </w:num>
  <w:num w:numId="15" w16cid:durableId="1819493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2C29"/>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0CB0"/>
    <w:rsid w:val="001E291F"/>
    <w:rsid w:val="00204CC3"/>
    <w:rsid w:val="00214E54"/>
    <w:rsid w:val="00233408"/>
    <w:rsid w:val="002514C1"/>
    <w:rsid w:val="00267723"/>
    <w:rsid w:val="00270637"/>
    <w:rsid w:val="0027067B"/>
    <w:rsid w:val="002B7AD6"/>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3852"/>
    <w:rsid w:val="00564605"/>
    <w:rsid w:val="00567467"/>
    <w:rsid w:val="00580F04"/>
    <w:rsid w:val="00581CC5"/>
    <w:rsid w:val="0058336F"/>
    <w:rsid w:val="00583D45"/>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56E9"/>
    <w:rsid w:val="00A12DDE"/>
    <w:rsid w:val="00A21AA1"/>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87536"/>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FF0D6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data.europa.eu/eli/reg/2008/1272/oj" TargetMode="External" /><Relationship Id="rId11" Type="http://schemas.openxmlformats.org/officeDocument/2006/relationships/hyperlink" Target="https://unece.org/fileadmin/DAM/trans/danger/publi/ghs/ghs_rev08/ST-SG-AC10-30-Rev8e.pdf" TargetMode="External" /><Relationship Id="rId12" Type="http://schemas.openxmlformats.org/officeDocument/2006/relationships/hyperlink" Target="https://unece.org/sites/default/files/2021-09/GHS_Rev9E_0.pdf" TargetMode="External" /><Relationship Id="rId13" Type="http://schemas.openxmlformats.org/officeDocument/2006/relationships/hyperlink" Target="https://unece.org/sites/default/files/2023-07/GHS%20Rev10e.pdf" TargetMode="External" /><Relationship Id="rId14" Type="http://schemas.openxmlformats.org/officeDocument/2006/relationships/hyperlink" Target="https://unece.org/transport/documents/2025/01/reports/amendments-tenth-revised-edition-globally-harmonized-syste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4258_00_e.pdf" TargetMode="External" /><Relationship Id="rId9" Type="http://schemas.openxmlformats.org/officeDocument/2006/relationships/hyperlink" Target="https://members.wto.org/crnattachments/2026/TBT/EEC/26_04258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FD1E-224D-4EE9-979C-5983D429B02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2026-08-17T07:34:00Z</dcterms:created>
  <dcterms:modified xsi:type="dcterms:W3CDTF">2026-08-17T07:48:00Z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