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13292E8" w14:textId="77777777">
      <w:pPr>
        <w:pStyle w:val="Title"/>
      </w:pPr>
      <w:r w:rsidRPr="002F663C">
        <w:t>NOTIFICATION</w:t>
      </w:r>
    </w:p>
    <w:p w:rsidR="002F663C" w:rsidRPr="002F663C" w:rsidP="00DD3DD7" w14:paraId="1C3AB250" w14:textId="77777777">
      <w:pPr>
        <w:pStyle w:val="Title3"/>
      </w:pPr>
      <w:r w:rsidRPr="002F663C">
        <w:t>Addendum</w:t>
      </w:r>
    </w:p>
    <w:p w:rsidR="002F663C" w:rsidP="001E2E4A" w14:paraId="12D76D59"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13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Viet Nam</w:t>
      </w:r>
      <w:r w:rsidRPr="002F663C">
        <w:rPr>
          <w:rFonts w:eastAsia="Calibri" w:cs="Times New Roman"/>
        </w:rPr>
        <w:t>.</w:t>
      </w:r>
    </w:p>
    <w:p w:rsidR="001E2E4A" w:rsidRPr="002F663C" w:rsidP="001E2E4A" w14:paraId="6D8AB157" w14:textId="77777777">
      <w:pPr>
        <w:rPr>
          <w:rFonts w:eastAsia="Calibri" w:cs="Times New Roman"/>
        </w:rPr>
      </w:pPr>
    </w:p>
    <w:p w:rsidR="002F663C" w:rsidRPr="002F663C" w:rsidP="002F663C" w14:paraId="7CC257C7" w14:textId="77777777">
      <w:pPr>
        <w:jc w:val="center"/>
        <w:rPr>
          <w:rFonts w:eastAsia="Calibri" w:cs="Times New Roman"/>
          <w:b/>
        </w:rPr>
      </w:pPr>
      <w:r w:rsidRPr="002F663C">
        <w:rPr>
          <w:rFonts w:eastAsia="Calibri" w:cs="Times New Roman"/>
          <w:b/>
        </w:rPr>
        <w:t>_______________</w:t>
      </w:r>
    </w:p>
    <w:p w:rsidR="002F663C" w:rsidP="002F663C" w14:paraId="46AE7331" w14:textId="77777777">
      <w:pPr>
        <w:rPr>
          <w:rFonts w:eastAsia="Calibri" w:cs="Times New Roman"/>
        </w:rPr>
      </w:pPr>
    </w:p>
    <w:p w:rsidR="00C14444" w:rsidRPr="002F663C" w:rsidP="002F663C" w14:paraId="2D85E90E" w14:textId="77777777">
      <w:pPr>
        <w:rPr>
          <w:rFonts w:eastAsia="Calibri" w:cs="Times New Roman"/>
        </w:rPr>
      </w:pPr>
    </w:p>
    <w:p w:rsidR="002F663C" w:rsidRPr="002F663C" w:rsidP="002F663C" w14:paraId="054A982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National technical regulation on electric vehicle charging equipment</w:t>
      </w:r>
    </w:p>
    <w:p w:rsidR="002F663C" w:rsidRPr="002F663C" w:rsidP="002F663C" w14:paraId="19BBD062"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58F4BD7"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5360CA0"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6EBAEDB" w14:textId="77777777" w:rsidTr="00E9471B">
        <w:tblPrEx>
          <w:tblW w:w="9049" w:type="dxa"/>
          <w:tblLayout w:type="fixed"/>
          <w:tblLook w:val="04A0"/>
        </w:tblPrEx>
        <w:tc>
          <w:tcPr>
            <w:tcW w:w="851" w:type="dxa"/>
          </w:tcPr>
          <w:p w:rsidR="002F663C" w:rsidRPr="00711F9C" w:rsidP="00C14444" w14:paraId="355D384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4457022"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741A0D3" w14:textId="77777777" w:rsidTr="00E9471B">
        <w:tblPrEx>
          <w:tblW w:w="9049" w:type="dxa"/>
          <w:tblLayout w:type="fixed"/>
          <w:tblLook w:val="04A0"/>
        </w:tblPrEx>
        <w:tc>
          <w:tcPr>
            <w:tcW w:w="851" w:type="dxa"/>
          </w:tcPr>
          <w:p w:rsidR="002F663C" w:rsidRPr="00711F9C" w:rsidP="00C14444" w14:paraId="1A9FCD9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F9FF9D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B0BF306" w14:textId="77777777" w:rsidTr="00E9471B">
        <w:tblPrEx>
          <w:tblW w:w="9049" w:type="dxa"/>
          <w:tblLayout w:type="fixed"/>
          <w:tblLook w:val="04A0"/>
        </w:tblPrEx>
        <w:tc>
          <w:tcPr>
            <w:tcW w:w="851" w:type="dxa"/>
          </w:tcPr>
          <w:p w:rsidR="002F663C" w:rsidRPr="00711F9C" w:rsidP="00C14444" w14:paraId="6BC39D2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A70236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71D4DDDA" w14:textId="77777777" w:rsidTr="00E9471B">
        <w:tblPrEx>
          <w:tblW w:w="9049" w:type="dxa"/>
          <w:tblLayout w:type="fixed"/>
          <w:tblLook w:val="04A0"/>
        </w:tblPrEx>
        <w:tc>
          <w:tcPr>
            <w:tcW w:w="851" w:type="dxa"/>
          </w:tcPr>
          <w:p w:rsidR="002F663C" w:rsidRPr="00711F9C" w:rsidP="00C14444" w14:paraId="247712A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712A87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69088300" w14:textId="77777777" w:rsidTr="00E9471B">
        <w:tblPrEx>
          <w:tblW w:w="9049" w:type="dxa"/>
          <w:tblLayout w:type="fixed"/>
          <w:tblLook w:val="04A0"/>
        </w:tblPrEx>
        <w:tc>
          <w:tcPr>
            <w:tcW w:w="851" w:type="dxa"/>
          </w:tcPr>
          <w:p w:rsidR="002F663C" w:rsidRPr="00711F9C" w:rsidP="00C14444" w14:paraId="0E4FD62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7D6730D"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54D9CAB6" w14:textId="77777777" w:rsidTr="00E9471B">
        <w:tblPrEx>
          <w:tblW w:w="9049" w:type="dxa"/>
          <w:tblLayout w:type="fixed"/>
          <w:tblLook w:val="04A0"/>
        </w:tblPrEx>
        <w:tc>
          <w:tcPr>
            <w:tcW w:w="851" w:type="dxa"/>
          </w:tcPr>
          <w:p w:rsidR="002F663C" w:rsidRPr="00711F9C" w:rsidP="00C14444" w14:paraId="0696899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8284F1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D6F609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B65AA9E" w14:textId="77777777" w:rsidTr="00E9471B">
        <w:tblPrEx>
          <w:tblW w:w="9049" w:type="dxa"/>
          <w:tblLayout w:type="fixed"/>
          <w:tblLook w:val="04A0"/>
        </w:tblPrEx>
        <w:tc>
          <w:tcPr>
            <w:tcW w:w="851" w:type="dxa"/>
          </w:tcPr>
          <w:p w:rsidR="002F663C" w:rsidRPr="00711F9C" w:rsidP="00C14444" w14:paraId="42428EF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E748F2D"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28A57037" w14:textId="77777777">
            <w:pPr>
              <w:spacing w:before="120" w:after="120"/>
              <w:rPr>
                <w:rFonts w:eastAsia="Calibri" w:cs="Times New Roman"/>
              </w:rPr>
            </w:pPr>
            <w:hyperlink r:id="rId7" w:tgtFrame="_blank" w:history="1">
              <w:r>
                <w:rPr>
                  <w:rFonts w:eastAsia="Calibri" w:cs="Times New Roman"/>
                  <w:color w:val="0000FF"/>
                  <w:u w:val="single"/>
                </w:rPr>
                <w:t>https://moit.gov.vn/tin-tuc/bo-cong-thuong-lay-y-kien-du-thao-quy-chuan-ky-thuat-quoc-gia-ve-tru-sac-tram-sac-xe-dien.html</w:t>
              </w:r>
            </w:hyperlink>
          </w:p>
          <w:p w:rsidR="00082727" w:rsidP="00C14444" w14:paraId="6DCEB0AA" w14:textId="77777777">
            <w:pPr>
              <w:spacing w:before="120" w:after="120"/>
              <w:rPr>
                <w:rFonts w:eastAsia="Calibri" w:cs="Times New Roman"/>
              </w:rPr>
            </w:pPr>
            <w:hyperlink r:id="rId8" w:tgtFrame="_blank" w:history="1">
              <w:r>
                <w:rPr>
                  <w:rFonts w:eastAsia="Calibri" w:cs="Times New Roman"/>
                  <w:color w:val="0000FF"/>
                  <w:u w:val="single"/>
                </w:rPr>
                <w:t>https://members.wto.org/crnattachments/2026/TBT/VNM/modification/26_04240_00_x.pdf</w:t>
              </w:r>
            </w:hyperlink>
          </w:p>
          <w:p w:rsidR="002F663C" w:rsidRPr="002F663C" w:rsidP="00C14444" w14:paraId="2D5C5CE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20 days from notification</w:t>
            </w:r>
          </w:p>
        </w:tc>
      </w:tr>
      <w:tr w14:paraId="2322B889" w14:textId="77777777" w:rsidTr="00E9471B">
        <w:tblPrEx>
          <w:tblW w:w="9049" w:type="dxa"/>
          <w:tblLayout w:type="fixed"/>
          <w:tblLook w:val="04A0"/>
        </w:tblPrEx>
        <w:tc>
          <w:tcPr>
            <w:tcW w:w="851" w:type="dxa"/>
          </w:tcPr>
          <w:p w:rsidR="002F663C" w:rsidRPr="00711F9C" w:rsidP="00C14444" w14:paraId="164F43E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9ED640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573BB9B" w14:textId="77777777" w:rsidTr="00E9471B">
        <w:tblPrEx>
          <w:tblW w:w="9049" w:type="dxa"/>
          <w:tblLayout w:type="fixed"/>
          <w:tblLook w:val="04A0"/>
        </w:tblPrEx>
        <w:tc>
          <w:tcPr>
            <w:tcW w:w="851" w:type="dxa"/>
            <w:tcBorders>
              <w:bottom w:val="double" w:sz="4" w:space="0" w:color="auto"/>
            </w:tcBorders>
          </w:tcPr>
          <w:p w:rsidR="002F663C" w:rsidRPr="00711F9C" w:rsidP="00C14444" w14:paraId="060E138D"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6510A90A"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4B31D3E7" w14:textId="77777777">
            <w:pPr>
              <w:spacing w:before="120" w:after="120"/>
              <w:rPr>
                <w:rFonts w:eastAsia="Calibri" w:cs="Times New Roman"/>
              </w:rPr>
            </w:pPr>
            <w:r>
              <w:rPr>
                <w:rFonts w:eastAsia="Calibri" w:cs="Times New Roman"/>
              </w:rPr>
              <w:t>The title, responsible agency, proposed date of adoption and proposed date of entry into force have been updated.</w:t>
            </w:r>
          </w:p>
          <w:p w:rsidR="00467A46" w:rsidP="00EB7B40" w14:paraId="519B14A4" w14:textId="77777777">
            <w:pPr>
              <w:spacing w:before="120" w:after="120"/>
              <w:rPr>
                <w:rFonts w:eastAsia="Calibri" w:cs="Times New Roman"/>
              </w:rPr>
            </w:pPr>
            <w:hyperlink r:id="rId7" w:tgtFrame="_blank" w:history="1">
              <w:r>
                <w:rPr>
                  <w:rFonts w:eastAsia="Calibri" w:cs="Times New Roman"/>
                  <w:color w:val="0000FF"/>
                  <w:u w:val="single"/>
                </w:rPr>
                <w:t>https://moit.gov.vn/tin-tuc/bo-cong-thuong-lay-y-kien-du-thao-quy-chuan-ky-thuat-quoc-gia-ve-tru-sac-tram-sac-xe-dien.html</w:t>
              </w:r>
            </w:hyperlink>
          </w:p>
        </w:tc>
      </w:tr>
      <w:bookmarkEnd w:id="0"/>
    </w:tbl>
    <w:p w:rsidR="002F663C" w:rsidRPr="002F663C" w:rsidP="002F663C" w14:paraId="03F115F5" w14:textId="77777777">
      <w:pPr>
        <w:jc w:val="left"/>
        <w:rPr>
          <w:rFonts w:eastAsia="Calibri" w:cs="Times New Roman"/>
          <w:highlight w:val="yellow"/>
        </w:rPr>
      </w:pPr>
    </w:p>
    <w:p w:rsidR="003971FF" w:rsidRPr="007F6EA2" w:rsidP="00B16ACF" w14:paraId="52E41A04"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TITLE: Draft National Technical Regulation on Electric Vehicle Charging Equipment and Charging Stations (</w:t>
      </w:r>
      <w:r w:rsidRPr="002F663C">
        <w:rPr>
          <w:rFonts w:eastAsia="Calibri" w:cs="Times New Roman"/>
          <w:szCs w:val="18"/>
        </w:rPr>
        <w:t>QCVN</w:t>
      </w:r>
      <w:r w:rsidRPr="002F663C">
        <w:rPr>
          <w:rFonts w:eastAsia="Calibri" w:cs="Times New Roman"/>
          <w:szCs w:val="18"/>
        </w:rPr>
        <w:t xml:space="preserve"> XXX:2026/</w:t>
      </w:r>
      <w:r w:rsidRPr="002F663C">
        <w:rPr>
          <w:rFonts w:eastAsia="Calibri" w:cs="Times New Roman"/>
          <w:szCs w:val="18"/>
        </w:rPr>
        <w:t>BCT</w:t>
      </w:r>
      <w:r w:rsidRPr="002F663C">
        <w:rPr>
          <w:rFonts w:eastAsia="Calibri" w:cs="Times New Roman"/>
          <w:szCs w:val="18"/>
        </w:rPr>
        <w:t>) (23 pages, in Vietnamese).</w:t>
      </w:r>
    </w:p>
    <w:p w:rsidR="006417AD" w:rsidRPr="002F663C" w:rsidP="00B16ACF" w14:paraId="13C6E645" w14:textId="77777777">
      <w:pPr>
        <w:spacing w:before="120" w:after="120"/>
        <w:rPr>
          <w:rFonts w:eastAsia="Calibri" w:cs="Times New Roman"/>
          <w:szCs w:val="18"/>
        </w:rPr>
      </w:pPr>
      <w:r w:rsidRPr="002F663C">
        <w:rPr>
          <w:rFonts w:eastAsia="Calibri" w:cs="Times New Roman"/>
          <w:szCs w:val="18"/>
        </w:rPr>
        <w:t>AGENCY:</w:t>
      </w:r>
    </w:p>
    <w:p w:rsidR="006417AD" w:rsidRPr="002F663C" w:rsidP="00B16ACF" w14:paraId="507C9E3C" w14:textId="77777777">
      <w:pPr>
        <w:spacing w:before="120" w:after="120"/>
        <w:rPr>
          <w:rFonts w:eastAsia="Calibri" w:cs="Times New Roman"/>
          <w:szCs w:val="18"/>
        </w:rPr>
      </w:pPr>
      <w:r w:rsidRPr="002F663C">
        <w:rPr>
          <w:rFonts w:eastAsia="Calibri" w:cs="Times New Roman"/>
          <w:szCs w:val="18"/>
        </w:rPr>
        <w:t>Viet Nam Industry Agency, Ministry of Industry and Trade</w:t>
      </w:r>
    </w:p>
    <w:p w:rsidR="006417AD" w:rsidRPr="002F663C" w:rsidP="00B16ACF" w14:paraId="57CF5457" w14:textId="77777777">
      <w:pPr>
        <w:spacing w:before="120" w:after="120"/>
        <w:rPr>
          <w:rFonts w:eastAsia="Calibri" w:cs="Times New Roman"/>
          <w:szCs w:val="18"/>
        </w:rPr>
      </w:pPr>
      <w:r w:rsidRPr="002F663C">
        <w:rPr>
          <w:rFonts w:eastAsia="Calibri" w:cs="Times New Roman"/>
          <w:szCs w:val="18"/>
        </w:rPr>
        <w:t>54 Hai Ba Trung Street, Cua Nam Ward, Ha Noi, Viet Nam</w:t>
      </w:r>
    </w:p>
    <w:p w:rsidR="006417AD" w:rsidRPr="002F663C" w:rsidP="00B16ACF" w14:paraId="47E360B3" w14:textId="77777777">
      <w:pPr>
        <w:spacing w:before="120" w:after="120"/>
        <w:rPr>
          <w:rFonts w:eastAsia="Calibri" w:cs="Times New Roman"/>
          <w:szCs w:val="18"/>
        </w:rPr>
      </w:pPr>
      <w:r w:rsidRPr="002F663C">
        <w:rPr>
          <w:rFonts w:eastAsia="Calibri" w:cs="Times New Roman"/>
          <w:szCs w:val="18"/>
        </w:rPr>
        <w:t>Tel.: +84 24 3996 7189; Contact: +84 972 846 101</w:t>
      </w:r>
    </w:p>
    <w:p w:rsidR="006417AD" w:rsidRPr="002F663C" w:rsidP="00B16ACF" w14:paraId="79019DB9" w14:textId="77777777">
      <w:pPr>
        <w:spacing w:before="120" w:after="120"/>
        <w:rPr>
          <w:rFonts w:eastAsia="Calibri" w:cs="Times New Roman"/>
          <w:szCs w:val="18"/>
        </w:rPr>
      </w:pPr>
      <w:r w:rsidRPr="002F663C">
        <w:rPr>
          <w:rFonts w:eastAsia="Calibri" w:cs="Times New Roman"/>
          <w:szCs w:val="18"/>
        </w:rPr>
        <w:t xml:space="preserve">Email: </w:t>
      </w:r>
      <w:hyperlink r:id="rId9" w:history="1">
        <w:r w:rsidRPr="002F663C">
          <w:rPr>
            <w:rFonts w:eastAsia="Calibri" w:cs="Times New Roman"/>
            <w:color w:val="0000FF"/>
            <w:szCs w:val="18"/>
            <w:u w:val="single"/>
          </w:rPr>
          <w:t>phuongtrh@moit.gov.vn</w:t>
        </w:r>
      </w:hyperlink>
      <w:r w:rsidRPr="002F663C">
        <w:rPr>
          <w:rFonts w:eastAsia="Calibri" w:cs="Times New Roman"/>
          <w:szCs w:val="18"/>
        </w:rPr>
        <w:t xml:space="preserve">; Website: </w:t>
      </w:r>
      <w:hyperlink r:id="rId10" w:history="1">
        <w:r w:rsidRPr="002F663C">
          <w:rPr>
            <w:rFonts w:eastAsia="Calibri" w:cs="Times New Roman"/>
            <w:color w:val="0000FF"/>
            <w:szCs w:val="18"/>
            <w:u w:val="single"/>
          </w:rPr>
          <w:t>https://moit.gov.vn/</w:t>
        </w:r>
      </w:hyperlink>
    </w:p>
    <w:p w:rsidR="006417AD" w:rsidRPr="002F663C" w:rsidP="00B16ACF" w14:paraId="4E0CB539" w14:textId="77777777">
      <w:pPr>
        <w:spacing w:before="120" w:after="120"/>
        <w:rPr>
          <w:rFonts w:eastAsia="Calibri" w:cs="Times New Roman"/>
          <w:szCs w:val="18"/>
        </w:rPr>
      </w:pPr>
      <w:r w:rsidRPr="002F663C">
        <w:rPr>
          <w:rFonts w:eastAsia="Calibri" w:cs="Times New Roman"/>
          <w:szCs w:val="18"/>
        </w:rPr>
        <w:t xml:space="preserve">Comments may also be submitted to the Viet Nam TBT Enquiry Point: </w:t>
      </w:r>
      <w:hyperlink r:id="rId11" w:history="1">
        <w:r w:rsidRPr="002F663C">
          <w:rPr>
            <w:rFonts w:eastAsia="Calibri" w:cs="Times New Roman"/>
            <w:color w:val="0000FF"/>
            <w:szCs w:val="18"/>
            <w:u w:val="single"/>
          </w:rPr>
          <w:t>tbtvn@mst.gov.vn</w:t>
        </w:r>
      </w:hyperlink>
    </w:p>
    <w:p w:rsidR="006417AD" w:rsidRPr="002F663C" w:rsidP="00B16ACF" w14:paraId="58911EA7" w14:textId="77777777">
      <w:pPr>
        <w:spacing w:before="120" w:after="120"/>
        <w:rPr>
          <w:rFonts w:eastAsia="Calibri" w:cs="Times New Roman"/>
          <w:szCs w:val="18"/>
        </w:rPr>
      </w:pPr>
      <w:r w:rsidRPr="002F663C">
        <w:rPr>
          <w:rFonts w:eastAsia="Calibri" w:cs="Times New Roman"/>
          <w:szCs w:val="18"/>
        </w:rPr>
        <w:t>SUMMARY: The draft National Technical Regulation on electric vehicle charging equipment was notified to the WTO under document G/TBT/N/</w:t>
      </w:r>
      <w:r w:rsidRPr="002F663C">
        <w:rPr>
          <w:rFonts w:eastAsia="Calibri" w:cs="Times New Roman"/>
          <w:szCs w:val="18"/>
        </w:rPr>
        <w:t>VNM</w:t>
      </w:r>
      <w:r w:rsidRPr="002F663C">
        <w:rPr>
          <w:rFonts w:eastAsia="Calibri" w:cs="Times New Roman"/>
          <w:szCs w:val="18"/>
        </w:rPr>
        <w:t>/340 on 11 March 2025. The notified measure has been revised and retitled "Draft National Technical Regulation on Electric Vehicle Charging Equipment and Charging Stations" (</w:t>
      </w:r>
      <w:r w:rsidRPr="002F663C">
        <w:rPr>
          <w:rFonts w:eastAsia="Calibri" w:cs="Times New Roman"/>
          <w:szCs w:val="18"/>
        </w:rPr>
        <w:t>QCVN</w:t>
      </w:r>
      <w:r w:rsidRPr="002F663C">
        <w:rPr>
          <w:rFonts w:eastAsia="Calibri" w:cs="Times New Roman"/>
          <w:szCs w:val="18"/>
        </w:rPr>
        <w:t xml:space="preserve"> XXX:2026/</w:t>
      </w:r>
      <w:r w:rsidRPr="002F663C">
        <w:rPr>
          <w:rFonts w:eastAsia="Calibri" w:cs="Times New Roman"/>
          <w:szCs w:val="18"/>
        </w:rPr>
        <w:t>BCT</w:t>
      </w:r>
      <w:r w:rsidRPr="002F663C">
        <w:rPr>
          <w:rFonts w:eastAsia="Calibri" w:cs="Times New Roman"/>
          <w:szCs w:val="18"/>
        </w:rPr>
        <w:t>). The revised draft comprises 23 pages in Vietnamese.</w:t>
      </w:r>
    </w:p>
    <w:p w:rsidR="006417AD" w:rsidRPr="002F663C" w:rsidP="00B16ACF" w14:paraId="5251C96E" w14:textId="77777777">
      <w:pPr>
        <w:spacing w:before="120" w:after="120"/>
        <w:rPr>
          <w:rFonts w:eastAsia="Calibri" w:cs="Times New Roman"/>
          <w:szCs w:val="18"/>
        </w:rPr>
      </w:pPr>
      <w:r w:rsidRPr="002F663C">
        <w:rPr>
          <w:rFonts w:eastAsia="Calibri" w:cs="Times New Roman"/>
          <w:szCs w:val="18"/>
        </w:rPr>
        <w:t>The existing safety, electromagnetic compatibility, communication, marking and user-information requirements for conductive electric vehicle charging equipment are retained and updated. The voltage limits remain 1,000 V AC or 1,500 V DC for both rated supply and rated output voltage.</w:t>
      </w:r>
    </w:p>
    <w:p w:rsidR="006417AD" w:rsidRPr="002F663C" w:rsidP="00B16ACF" w14:paraId="26A955DB" w14:textId="77777777">
      <w:pPr>
        <w:spacing w:before="120" w:after="120"/>
        <w:rPr>
          <w:rFonts w:eastAsia="Calibri" w:cs="Times New Roman"/>
          <w:szCs w:val="18"/>
        </w:rPr>
      </w:pPr>
      <w:r w:rsidRPr="002F663C">
        <w:rPr>
          <w:rFonts w:eastAsia="Calibri" w:cs="Times New Roman"/>
          <w:szCs w:val="18"/>
        </w:rPr>
        <w:t>The scope is expanded to cover charging stations installed in public areas, centralized parking facilities, rest areas and similar locations. The revised draft applies to charging equipment for battery electric vehicles (BEVs), plug-in hybrid electric vehicles (PHEVs) and similar electric road vehicles equipped with a rechargeable energy storage system installed on the vehicle (RESS).</w:t>
      </w:r>
    </w:p>
    <w:p w:rsidR="006417AD" w:rsidRPr="002F663C" w:rsidP="00B16ACF" w14:paraId="494F84AE" w14:textId="77777777">
      <w:pPr>
        <w:spacing w:before="120" w:after="120"/>
        <w:rPr>
          <w:rFonts w:eastAsia="Calibri" w:cs="Times New Roman"/>
          <w:szCs w:val="18"/>
        </w:rPr>
      </w:pPr>
      <w:r w:rsidRPr="002F663C">
        <w:rPr>
          <w:rFonts w:eastAsia="Calibri" w:cs="Times New Roman"/>
          <w:szCs w:val="18"/>
        </w:rPr>
        <w:t>New technical requirements are introduced for station siting and layout; internal traffic and parking arrangements; equipment foundations and environmental protection; power supply and distribution; grid connection; earthing and lightning protection; emergency disconnection and fire safety; electrical protection; energy metering; load management; and energy efficiency.</w:t>
      </w:r>
    </w:p>
    <w:p w:rsidR="006417AD" w:rsidRPr="002F663C" w:rsidP="00B16ACF" w14:paraId="0AA1E40D" w14:textId="77777777">
      <w:pPr>
        <w:spacing w:before="120" w:after="120"/>
        <w:rPr>
          <w:rFonts w:eastAsia="Calibri" w:cs="Times New Roman"/>
          <w:szCs w:val="18"/>
        </w:rPr>
      </w:pPr>
      <w:r w:rsidRPr="002F663C">
        <w:rPr>
          <w:rFonts w:eastAsia="Calibri" w:cs="Times New Roman"/>
          <w:szCs w:val="18"/>
        </w:rPr>
        <w:t>The revised draft also adds requirements for station monitoring, control and communications; data retention and information security; integration of renewable energy, energy storage systems and smart grids; design, installation, commissioning and as-built documentation; conditions for entry into operation; maintenance, incident response, user information and reporting.</w:t>
      </w:r>
    </w:p>
    <w:p w:rsidR="006417AD" w:rsidRPr="002F663C" w:rsidP="00B16ACF" w14:paraId="7FB67C38" w14:textId="77777777">
      <w:pPr>
        <w:spacing w:before="120" w:after="120"/>
        <w:rPr>
          <w:rFonts w:eastAsia="Calibri" w:cs="Times New Roman"/>
          <w:szCs w:val="18"/>
        </w:rPr>
      </w:pPr>
      <w:r w:rsidRPr="002F663C">
        <w:rPr>
          <w:rFonts w:eastAsia="Calibri" w:cs="Times New Roman"/>
          <w:szCs w:val="18"/>
        </w:rPr>
        <w:t>The scope of regulated entities is expanded to include station investors and owners, designers, contractors, installers and operators, electricity suppliers and dispatch entities, and conformity assessment, testing and inspection bodies, in addition to manufacturers, assemblers, importers and distributors of charging equipment.</w:t>
      </w:r>
    </w:p>
    <w:p w:rsidR="006417AD" w:rsidRPr="002F663C" w:rsidP="00B16ACF" w14:paraId="16C864B6" w14:textId="77777777">
      <w:pPr>
        <w:spacing w:before="120" w:after="120"/>
        <w:rPr>
          <w:rFonts w:eastAsia="Calibri" w:cs="Times New Roman"/>
          <w:szCs w:val="18"/>
        </w:rPr>
      </w:pPr>
      <w:r w:rsidRPr="002F663C">
        <w:rPr>
          <w:rFonts w:eastAsia="Calibri" w:cs="Times New Roman"/>
          <w:szCs w:val="18"/>
        </w:rPr>
        <w:t>The revised draft clarifies exclusions for indoor charging stations governed by construction and fire-safety legislation; wireless charging equipment; Mode 2 in-cable control and protection devices; on-board chargers; equipment dedicated to railway, industrial or off-road vehicles; controlled non-commercial testing, research, display or training facilities; and grid infrastructure upstream of the point of common coupling.</w:t>
      </w:r>
    </w:p>
    <w:p w:rsidR="006417AD" w:rsidRPr="002F663C" w:rsidP="00B16ACF" w14:paraId="20CC510B" w14:textId="77777777">
      <w:pPr>
        <w:spacing w:before="120" w:after="120"/>
        <w:rPr>
          <w:rFonts w:eastAsia="Calibri" w:cs="Times New Roman"/>
          <w:szCs w:val="18"/>
        </w:rPr>
      </w:pPr>
      <w:r w:rsidRPr="002F663C">
        <w:rPr>
          <w:rFonts w:eastAsia="Calibri" w:cs="Times New Roman"/>
          <w:szCs w:val="18"/>
        </w:rPr>
        <w:t>Provisions are included on conformity assessment and the recognition and use of foreign conformity assessment results. Transitional arrangements apply to charging equipment already placed on the market, charging stations already in operation or under construction, and existing conformity assessment documentation.</w:t>
      </w:r>
    </w:p>
    <w:p w:rsidR="006417AD" w:rsidRPr="002F663C" w:rsidP="00B16ACF" w14:paraId="594DCBF1" w14:textId="77777777">
      <w:pPr>
        <w:spacing w:before="120" w:after="120"/>
        <w:rPr>
          <w:rFonts w:eastAsia="Calibri" w:cs="Times New Roman"/>
          <w:szCs w:val="18"/>
        </w:rPr>
      </w:pPr>
      <w:r w:rsidRPr="002F663C">
        <w:rPr>
          <w:rFonts w:eastAsia="Calibri" w:cs="Times New Roman"/>
          <w:szCs w:val="18"/>
        </w:rPr>
        <w:t>The proposed dates stated in G/TBT/N/</w:t>
      </w:r>
      <w:r w:rsidRPr="002F663C">
        <w:rPr>
          <w:rFonts w:eastAsia="Calibri" w:cs="Times New Roman"/>
          <w:szCs w:val="18"/>
        </w:rPr>
        <w:t>VNM</w:t>
      </w:r>
      <w:r w:rsidRPr="002F663C">
        <w:rPr>
          <w:rFonts w:eastAsia="Calibri" w:cs="Times New Roman"/>
          <w:szCs w:val="18"/>
        </w:rPr>
        <w:t>/340 are no longer applicable. The current proposed date of adoption is 30 September 2026 and the proposed date of entry into force is 1 July 2027.</w:t>
      </w:r>
    </w:p>
    <w:p w:rsidR="006C5A96" w:rsidP="006C5A96" w14:paraId="1895B831" w14:textId="77777777">
      <w:pPr>
        <w:jc w:val="center"/>
        <w:rPr>
          <w:b/>
        </w:rPr>
      </w:pPr>
      <w:r w:rsidRPr="003971FF">
        <w:rPr>
          <w:b/>
        </w:rPr>
        <w:t>__________</w:t>
      </w:r>
    </w:p>
    <w:p w:rsidR="004D4D19" w:rsidP="007F38C2" w14:paraId="42C7E8E5" w14:textId="77777777">
      <w:pPr>
        <w:jc w:val="center"/>
        <w:rPr>
          <w:b/>
        </w:rPr>
      </w:pPr>
    </w:p>
    <w:p w:rsidR="00A1565D" w:rsidP="003971FF" w14:paraId="0A3E82C5" w14:textId="77777777">
      <w:pPr>
        <w:jc w:val="center"/>
        <w:rPr>
          <w:b/>
        </w:rPr>
      </w:pPr>
    </w:p>
    <w:sectPr w:rsidSect="006C5A96">
      <w:headerReference w:type="even" r:id="rId12"/>
      <w:headerReference w:type="default" r:id="rId13"/>
      <w:footerReference w:type="even" r:id="rId14"/>
      <w:footerReference w:type="default" r:id="rId15"/>
      <w:headerReference w:type="first" r:id="rId16"/>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5EAB1B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EE7E97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30C47" w:rsidP="00ED54E0" w14:paraId="2EE64E7E" w14:textId="77777777">
      <w:r>
        <w:separator/>
      </w:r>
    </w:p>
  </w:footnote>
  <w:footnote w:type="continuationSeparator" w:id="1">
    <w:p w:rsidR="00C30C47" w:rsidP="00ED54E0" w14:paraId="333BFABB" w14:textId="77777777">
      <w:r>
        <w:continuationSeparator/>
      </w:r>
    </w:p>
  </w:footnote>
  <w:footnote w:id="2">
    <w:p w:rsidR="007F6EA2" w14:paraId="0E578194"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A7994B7"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54B19FB" w14:textId="77777777">
    <w:pPr>
      <w:pStyle w:val="Header"/>
      <w:pBdr>
        <w:bottom w:val="single" w:sz="4" w:space="1" w:color="auto"/>
      </w:pBdr>
      <w:tabs>
        <w:tab w:val="clear" w:pos="4513"/>
        <w:tab w:val="clear" w:pos="9027"/>
      </w:tabs>
      <w:jc w:val="center"/>
    </w:pPr>
  </w:p>
  <w:p w:rsidR="00DD3DD7" w:rsidRPr="00DD3DD7" w:rsidP="00DD3DD7" w14:paraId="4D30826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908A46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04E8DC3" w14:textId="77777777">
    <w:pPr>
      <w:pStyle w:val="Header"/>
      <w:pBdr>
        <w:bottom w:val="single" w:sz="4" w:space="1" w:color="auto"/>
      </w:pBdr>
      <w:tabs>
        <w:tab w:val="clear" w:pos="4513"/>
        <w:tab w:val="clear" w:pos="9027"/>
      </w:tabs>
      <w:jc w:val="center"/>
    </w:pPr>
    <w:bookmarkStart w:id="3" w:name="spsSymbolHeader"/>
    <w:r w:rsidRPr="00DD3DD7">
      <w:t>G/TBT/N/</w:t>
    </w:r>
    <w:r w:rsidRPr="00DD3DD7">
      <w:t>VNM</w:t>
    </w:r>
    <w:r w:rsidRPr="00DD3DD7">
      <w:t>/340/Add.1</w:t>
    </w:r>
    <w:bookmarkEnd w:id="3"/>
  </w:p>
  <w:p w:rsidR="00DD3DD7" w:rsidRPr="00DD3DD7" w:rsidP="00DD3DD7" w14:paraId="70A15A5D" w14:textId="77777777">
    <w:pPr>
      <w:pStyle w:val="Header"/>
      <w:pBdr>
        <w:bottom w:val="single" w:sz="4" w:space="1" w:color="auto"/>
      </w:pBdr>
      <w:tabs>
        <w:tab w:val="clear" w:pos="4513"/>
        <w:tab w:val="clear" w:pos="9027"/>
      </w:tabs>
      <w:jc w:val="center"/>
    </w:pPr>
  </w:p>
  <w:p w:rsidR="00DD3DD7" w:rsidRPr="00DD3DD7" w:rsidP="00DD3DD7" w14:paraId="79148A8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2413813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85186D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283E085"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8491FB0" w14:textId="77777777">
          <w:pPr>
            <w:jc w:val="right"/>
            <w:rPr>
              <w:b/>
              <w:color w:val="FF0000"/>
              <w:szCs w:val="16"/>
            </w:rPr>
          </w:pPr>
          <w:r>
            <w:rPr>
              <w:b/>
              <w:color w:val="FF0000"/>
              <w:szCs w:val="16"/>
            </w:rPr>
            <w:t xml:space="preserve"> </w:t>
          </w:r>
        </w:p>
      </w:tc>
    </w:tr>
    <w:tr w14:paraId="6F371EA8"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AADDEA3"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B42DD79" w14:textId="77777777">
          <w:pPr>
            <w:jc w:val="right"/>
            <w:rPr>
              <w:b/>
              <w:szCs w:val="16"/>
            </w:rPr>
          </w:pPr>
        </w:p>
      </w:tc>
    </w:tr>
    <w:tr w14:paraId="091BC052"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09FF99C"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437A2C7" w14:textId="77777777">
          <w:pPr>
            <w:jc w:val="right"/>
            <w:rPr>
              <w:rFonts w:eastAsia="Calibri" w:cs="Times New Roman"/>
              <w:b/>
              <w:szCs w:val="16"/>
            </w:rPr>
          </w:pPr>
          <w:bookmarkStart w:id="4" w:name="bmkSymbols"/>
          <w:r w:rsidRPr="002F663C">
            <w:rPr>
              <w:rFonts w:eastAsia="Calibri" w:cs="Times New Roman"/>
              <w:b/>
              <w:szCs w:val="16"/>
            </w:rPr>
            <w:t>G/TBT/N/</w:t>
          </w:r>
          <w:r w:rsidRPr="002F663C">
            <w:rPr>
              <w:rFonts w:eastAsia="Calibri" w:cs="Times New Roman"/>
              <w:b/>
              <w:szCs w:val="16"/>
            </w:rPr>
            <w:t>VNM</w:t>
          </w:r>
          <w:r w:rsidRPr="002F663C">
            <w:rPr>
              <w:rFonts w:eastAsia="Calibri" w:cs="Times New Roman"/>
              <w:b/>
              <w:szCs w:val="16"/>
            </w:rPr>
            <w:t>/340/Add.1</w:t>
          </w:r>
          <w:bookmarkEnd w:id="4"/>
        </w:p>
        <w:p w:rsidR="00C14444" w:rsidRPr="00C14444" w:rsidP="00C14444" w14:paraId="656C5C3F" w14:textId="77777777">
          <w:pPr>
            <w:jc w:val="center"/>
            <w:rPr>
              <w:szCs w:val="16"/>
            </w:rPr>
          </w:pPr>
        </w:p>
      </w:tc>
    </w:tr>
    <w:tr w14:paraId="23EF3730"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8ADBEB1" w14:textId="77777777"/>
      </w:tc>
      <w:tc>
        <w:tcPr>
          <w:tcW w:w="5448" w:type="dxa"/>
          <w:gridSpan w:val="2"/>
          <w:shd w:val="clear" w:color="auto" w:fill="FFFFFF"/>
          <w:tcMar>
            <w:left w:w="108" w:type="dxa"/>
            <w:right w:w="108" w:type="dxa"/>
          </w:tcMar>
          <w:vAlign w:val="center"/>
        </w:tcPr>
        <w:p w:rsidR="00ED54E0" w:rsidRPr="00182B84" w:rsidP="00425DC5" w14:paraId="0C7948EC" w14:textId="77777777">
          <w:pPr>
            <w:jc w:val="right"/>
            <w:rPr>
              <w:szCs w:val="16"/>
            </w:rPr>
          </w:pPr>
          <w:bookmarkStart w:id="5" w:name="bmkDate"/>
          <w:r w:rsidRPr="00182B84">
            <w:rPr>
              <w:szCs w:val="16"/>
            </w:rPr>
            <w:t>13 August 2026</w:t>
          </w:r>
          <w:bookmarkEnd w:id="5"/>
        </w:p>
      </w:tc>
    </w:tr>
    <w:tr w14:paraId="4501142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B2501C8" w14:textId="77777777">
          <w:pPr>
            <w:jc w:val="left"/>
            <w:rPr>
              <w:b/>
            </w:rPr>
          </w:pPr>
          <w:bookmarkStart w:id="6" w:name="bmkSerial"/>
          <w:r>
            <w:rPr>
              <w:rFonts w:ascii="Verdana" w:eastAsia="Verdana" w:hAnsi="Verdana" w:cs="Verdana"/>
              <w:b w:val="0"/>
              <w:color w:val="FF0000"/>
              <w:sz w:val="18"/>
            </w:rPr>
            <w:t>(26-5730)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5C22B39"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2893A59"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57006D2"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5C2858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5904B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80877188">
    <w:abstractNumId w:val="9"/>
  </w:num>
  <w:num w:numId="2" w16cid:durableId="1181621712">
    <w:abstractNumId w:val="7"/>
  </w:num>
  <w:num w:numId="3" w16cid:durableId="397170363">
    <w:abstractNumId w:val="6"/>
  </w:num>
  <w:num w:numId="4" w16cid:durableId="1402370626">
    <w:abstractNumId w:val="5"/>
  </w:num>
  <w:num w:numId="5" w16cid:durableId="1246376662">
    <w:abstractNumId w:val="4"/>
  </w:num>
  <w:num w:numId="6" w16cid:durableId="1770158005">
    <w:abstractNumId w:val="12"/>
  </w:num>
  <w:num w:numId="7" w16cid:durableId="1239754473">
    <w:abstractNumId w:val="11"/>
  </w:num>
  <w:num w:numId="8" w16cid:durableId="2102989203">
    <w:abstractNumId w:val="10"/>
  </w:num>
  <w:num w:numId="9" w16cid:durableId="9833142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4253582">
    <w:abstractNumId w:val="13"/>
  </w:num>
  <w:num w:numId="11" w16cid:durableId="56977392">
    <w:abstractNumId w:val="8"/>
  </w:num>
  <w:num w:numId="12" w16cid:durableId="326327654">
    <w:abstractNumId w:val="3"/>
  </w:num>
  <w:num w:numId="13" w16cid:durableId="29231843">
    <w:abstractNumId w:val="2"/>
  </w:num>
  <w:num w:numId="14" w16cid:durableId="1965505535">
    <w:abstractNumId w:val="1"/>
  </w:num>
  <w:num w:numId="15" w16cid:durableId="1127241064">
    <w:abstractNumId w:val="0"/>
  </w:num>
  <w:num w:numId="16" w16cid:durableId="73540019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145CD"/>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E3D78"/>
    <w:rsid w:val="005F30CB"/>
    <w:rsid w:val="00612644"/>
    <w:rsid w:val="00615DE8"/>
    <w:rsid w:val="00620F21"/>
    <w:rsid w:val="0062527B"/>
    <w:rsid w:val="006417AD"/>
    <w:rsid w:val="0064657D"/>
    <w:rsid w:val="00657B4C"/>
    <w:rsid w:val="00674CCD"/>
    <w:rsid w:val="00692F3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97BDC"/>
    <w:rsid w:val="007A1BFD"/>
    <w:rsid w:val="007B3D3F"/>
    <w:rsid w:val="007D654A"/>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C4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63E3E"/>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A1233D0"/>
  <w15:docId w15:val="{447B8B70-28DB-498C-ABC6-40D082162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moit.gov.vn/" TargetMode="External" /><Relationship Id="rId11" Type="http://schemas.openxmlformats.org/officeDocument/2006/relationships/hyperlink" Target="mailto:tbtvn@mst.gov.vn"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oit.gov.vn/tin-tuc/bo-cong-thuong-lay-y-kien-du-thao-quy-chuan-ky-thuat-quoc-gia-ve-tru-sac-tram-sac-xe-dien.html" TargetMode="External" /><Relationship Id="rId8" Type="http://schemas.openxmlformats.org/officeDocument/2006/relationships/hyperlink" Target="https://members.wto.org/crnattachments/2026/TBT/VNM/modification/26_04240_00_x.pdf" TargetMode="External" /><Relationship Id="rId9" Type="http://schemas.openxmlformats.org/officeDocument/2006/relationships/hyperlink" Target="mailto:phuongtrh@moit.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ermaz\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3B8E80D7-8C45-41E7-B60D-31CE9ABC977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2</Pages>
  <Words>798</Words>
  <Characters>4550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Mermaz, Johann</cp:lastModifiedBy>
  <cp:revision>2</cp:revision>
  <cp:lastPrinted>2019-10-23T07:32:00Z</cp:lastPrinted>
  <dcterms:created xsi:type="dcterms:W3CDTF">2026-08-13T11:09:00Z</dcterms:created>
  <dcterms:modified xsi:type="dcterms:W3CDTF">2026-08-13T11:28:00Z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