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741FE70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9CB03E1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C60858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D87C2D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3DEEC3F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BE09840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423D8799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2B4701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C4A65C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D307669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473B8D9C" w14:textId="77777777">
            <w:pPr>
              <w:spacing w:after="120"/>
            </w:pPr>
            <w:r w:rsidRPr="003A3E55">
              <w:t>Ministerio de Salud (MINSAL)</w:t>
            </w:r>
          </w:p>
        </w:tc>
      </w:tr>
      <w:tr w14:paraId="2F346BE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F3C003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BE0EEC2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833F30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1C7E9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25325D59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Medicamentos</w:t>
            </w:r>
          </w:p>
        </w:tc>
      </w:tr>
      <w:tr w14:paraId="5A9090E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BFF294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6DEC16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Actualización Guía G-BIOF 02: Guía para optar a bioexención de estudios de disponibilidad comparativa; (32 página(s), en español)</w:t>
            </w:r>
          </w:p>
          <w:p w:rsidR="00145C22" w:rsidRPr="00F70F54" w:rsidP="003A3E55" w14:paraId="4AADC8D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7FE735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https://members.wto.org/crnattachments/2026/TBT/CHL/26_04135_00_s.pdf</w:t>
              </w:r>
            </w:hyperlink>
          </w:p>
          <w:p w:rsidR="00F70F54" w:rsidP="003A3E55" w14:paraId="479C8469" w14:textId="77777777">
            <w:pPr>
              <w:spacing w:after="120"/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https://www.minsal.cl/wp-content/uploads/2026/08/GBIOF02-para-Consulta-publica-V-06082026.pdf</w:t>
              </w:r>
            </w:hyperlink>
          </w:p>
        </w:tc>
      </w:tr>
      <w:tr w14:paraId="77299F3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712CE5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2781FDAD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documento corresponde a una actualización de la normativa vigente, que toma como base la guía técnica armonizada "ICH M9 on Biopharmaceutics Classification System-Based Biowaivers", elaborada por el International Council for Harmonisation of Technical Requirements for Pharmaceuticals for Human Use (ICH).</w:t>
            </w:r>
          </w:p>
          <w:p w:rsidR="00AF251E" w:rsidRPr="003A3E55" w:rsidP="003A3E55" w14:paraId="40EDA040" w14:textId="77777777">
            <w:pPr>
              <w:spacing w:before="120" w:after="120"/>
            </w:pPr>
            <w:r w:rsidRPr="003A3E55">
              <w:t>Se han complementado aspectos técnicos no abordados por dicha guía, incorporando lineamientos de bioequivalencia emitidos por las agencias y entidades internacionales de referencia, como la European Medicines Agency (EMA), la Food and Drug Administration (FDA), y la Organización Mundial de la Salud (OMS). Asimismo, en esta actualización se ha considerado la experiencia teórica y práctica del Instituto de Salud Pública de Chile.</w:t>
            </w:r>
          </w:p>
        </w:tc>
      </w:tr>
      <w:tr w14:paraId="3CA61F3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2CF389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32BAA058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7C2277AE" w14:textId="77777777" w:rsidTr="0017609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4C096E1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20D1E0D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2EAA980E" w14:textId="77777777">
            <w:pPr>
              <w:spacing w:before="120" w:after="120"/>
            </w:pPr>
            <w:r w:rsidRPr="003A3E55">
              <w:t>Decreto con Fuerza de Ley Nº 725/1967, aprobatorio del Código Sanitario, Ministerio Salud.</w:t>
            </w:r>
          </w:p>
          <w:p w:rsidR="00AF251E" w:rsidRPr="003A3E55" w:rsidP="005037AE" w14:paraId="61981AAA" w14:textId="77777777">
            <w:pPr>
              <w:spacing w:before="120" w:after="120"/>
            </w:pPr>
            <w:r w:rsidRPr="003A3E55">
              <w:t>Decreto Supremo N°3 del 2010 del Ministerio de Salud y aprobatorio del "Reglamento del Sistema Nacional de Control de los Productos Farmacéuticos de Uso Humano".</w:t>
            </w:r>
          </w:p>
          <w:p w:rsidR="00AF251E" w:rsidRPr="003A3E55" w:rsidP="005037AE" w14:paraId="2343D3D6" w14:textId="77777777">
            <w:pPr>
              <w:spacing w:before="120" w:after="120"/>
            </w:pPr>
            <w:r w:rsidRPr="003A3E55">
              <w:t>Decreto Exento N° 27 de 2012, del Ministerio de Salud, que aprueba Norma Técnica Nº 131 nominada "Norma que define los criterios destinados a establecer la equivalencia terapéutica en productos farmacéuticos en Chile".</w:t>
            </w:r>
          </w:p>
        </w:tc>
      </w:tr>
      <w:tr w14:paraId="196051E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1563E3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749E263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722BE796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6F4E077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F33518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0ECC7C5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55CBFC70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9 de octubre de 2026</w:t>
            </w:r>
          </w:p>
          <w:p w:rsidR="005F0B7B" w:rsidRPr="000C0749" w:rsidP="005F0B7B" w14:paraId="0DA029C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5470AAD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157B0C3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1C24DF77" w14:textId="77777777">
            <w:pPr>
              <w:rPr>
                <w:bCs/>
              </w:rPr>
            </w:pPr>
            <w:r>
              <w:rPr>
                <w:bCs/>
              </w:rPr>
              <w:t>Ministerio de Relaciones Exteriores de Chile</w:t>
            </w:r>
          </w:p>
          <w:p w:rsidR="00F70F54" w:rsidP="003A3E55" w14:paraId="4D9D9BAB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3269C062" w14:textId="77777777">
            <w:pPr>
              <w:rPr>
                <w:bCs/>
              </w:rPr>
            </w:pPr>
            <w:r>
              <w:rPr>
                <w:bCs/>
              </w:rPr>
              <w:t>Teléfono: (+56)-2- 2827 5251</w:t>
            </w:r>
          </w:p>
          <w:p w:rsidR="00F70F54" w:rsidP="003A3E55" w14:paraId="1E0635E3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1F81AE23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298E279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69D58C0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423E61A7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0526C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50759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5FF9C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A18EB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F0726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CHL</w:t>
    </w:r>
    <w:r w:rsidRPr="003A3E55">
      <w:t>/802</w:t>
    </w:r>
    <w:bookmarkEnd w:id="0"/>
  </w:p>
  <w:p w:rsidR="00B531D9" w:rsidRPr="003A3E55" w:rsidP="00B531D9" w14:paraId="706CDA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AF875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48B08B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6DE14F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01B2B98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D642B4D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A499ABB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0D657F0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9F86BBB" w14:textId="77777777">
          <w:pPr>
            <w:jc w:val="right"/>
            <w:rPr>
              <w:b/>
              <w:szCs w:val="18"/>
            </w:rPr>
          </w:pPr>
        </w:p>
      </w:tc>
    </w:tr>
    <w:tr w14:paraId="5977F3EF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4C1E1C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D008EE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CHL</w:t>
          </w:r>
          <w:r w:rsidRPr="003A3E55">
            <w:rPr>
              <w:b/>
              <w:szCs w:val="18"/>
            </w:rPr>
            <w:t>/802</w:t>
          </w:r>
          <w:bookmarkEnd w:id="2"/>
        </w:p>
      </w:tc>
    </w:tr>
    <w:tr w14:paraId="1AE87F4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9D60FD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42B444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10 de agosto de 2026</w:t>
          </w:r>
          <w:bookmarkEnd w:id="3"/>
          <w:bookmarkEnd w:id="4"/>
        </w:p>
      </w:tc>
    </w:tr>
    <w:tr w14:paraId="5A6CDAAF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46805A2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(26-5621)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5AD0A32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5D6F0D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D0E4019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6BDAE5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51E3284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8186613">
    <w:abstractNumId w:val="8"/>
  </w:num>
  <w:num w:numId="2" w16cid:durableId="12614407">
    <w:abstractNumId w:val="3"/>
  </w:num>
  <w:num w:numId="3" w16cid:durableId="365762734">
    <w:abstractNumId w:val="2"/>
  </w:num>
  <w:num w:numId="4" w16cid:durableId="1104879837">
    <w:abstractNumId w:val="1"/>
  </w:num>
  <w:num w:numId="5" w16cid:durableId="425082172">
    <w:abstractNumId w:val="0"/>
  </w:num>
  <w:num w:numId="6" w16cid:durableId="1716273728">
    <w:abstractNumId w:val="12"/>
  </w:num>
  <w:num w:numId="7" w16cid:durableId="33124007">
    <w:abstractNumId w:val="10"/>
  </w:num>
  <w:num w:numId="8" w16cid:durableId="1461800797">
    <w:abstractNumId w:val="13"/>
  </w:num>
  <w:num w:numId="9" w16cid:durableId="1573194854">
    <w:abstractNumId w:val="9"/>
  </w:num>
  <w:num w:numId="10" w16cid:durableId="1382360629">
    <w:abstractNumId w:val="7"/>
  </w:num>
  <w:num w:numId="11" w16cid:durableId="1970432351">
    <w:abstractNumId w:val="6"/>
  </w:num>
  <w:num w:numId="12" w16cid:durableId="64768975">
    <w:abstractNumId w:val="5"/>
  </w:num>
  <w:num w:numId="13" w16cid:durableId="909539230">
    <w:abstractNumId w:val="4"/>
  </w:num>
  <w:num w:numId="14" w16cid:durableId="843321877">
    <w:abstractNumId w:val="11"/>
  </w:num>
  <w:num w:numId="15" w16cid:durableId="121922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6208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76094"/>
    <w:rsid w:val="001817E9"/>
    <w:rsid w:val="00182B7B"/>
    <w:rsid w:val="001B50DF"/>
    <w:rsid w:val="001B6B1E"/>
    <w:rsid w:val="001C08C0"/>
    <w:rsid w:val="001C7AC6"/>
    <w:rsid w:val="001D0E4B"/>
    <w:rsid w:val="001D74DE"/>
    <w:rsid w:val="001E1C41"/>
    <w:rsid w:val="001E6701"/>
    <w:rsid w:val="001F2C22"/>
    <w:rsid w:val="001F7871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436FB"/>
    <w:rsid w:val="00466A2B"/>
    <w:rsid w:val="004935F4"/>
    <w:rsid w:val="004B06F7"/>
    <w:rsid w:val="004B602E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E4EF4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4202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49D936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4135_00_s.pdf" TargetMode="External" /><Relationship Id="rId6" Type="http://schemas.openxmlformats.org/officeDocument/2006/relationships/hyperlink" Target="https://www.minsal.cl/wp-content/uploads/2026/08/GBIOF02-para-Consulta-publica-V-06082026.pdf" TargetMode="External" /><Relationship Id="rId7" Type="http://schemas.openxmlformats.org/officeDocument/2006/relationships/hyperlink" Target="mailto:tbt_Chile@subrei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10FB300-8FA9-44EF-B1EB-EC956A79CFA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2026-08-10T08:07:00Z</dcterms:created>
  <dcterms:modified xsi:type="dcterms:W3CDTF">2026-08-10T08:13:00Z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