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5FC8C4" w14:textId="77777777">
      <w:pPr>
        <w:pStyle w:val="Title"/>
        <w:rPr>
          <w:caps w:val="0"/>
          <w:kern w:val="0"/>
        </w:rPr>
      </w:pPr>
      <w:r w:rsidRPr="002F6A28">
        <w:rPr>
          <w:caps w:val="0"/>
          <w:kern w:val="0"/>
        </w:rPr>
        <w:t>NOTIFICATION</w:t>
      </w:r>
    </w:p>
    <w:p w:rsidR="009239F7" w:rsidRPr="002F6A28" w:rsidP="002F6A28" w14:paraId="39A5B330" w14:textId="77777777">
      <w:pPr>
        <w:jc w:val="center"/>
      </w:pPr>
      <w:r w:rsidRPr="002F6A28">
        <w:t>The following notification is being circulated in accordance with Article 10.6</w:t>
      </w:r>
    </w:p>
    <w:p w:rsidR="009239F7" w:rsidRPr="002F6A28" w:rsidP="002F6A28" w14:paraId="24D803D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9336D72" w14:textId="77777777" w:rsidTr="00DB13FE">
        <w:tblPrEx>
          <w:tblW w:w="5000" w:type="pct"/>
          <w:tblLayout w:type="fixed"/>
          <w:tblLook w:val="0000"/>
        </w:tblPrEx>
        <w:tc>
          <w:tcPr>
            <w:tcW w:w="607" w:type="dxa"/>
            <w:tcBorders>
              <w:top w:val="double" w:sz="4" w:space="0" w:color="auto"/>
            </w:tcBorders>
          </w:tcPr>
          <w:p w:rsidR="00F85C99" w:rsidRPr="002F6A28" w:rsidP="002F6A28" w14:paraId="0E17386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BDC7CB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4A997D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567A31" w14:textId="77777777" w:rsidTr="00DB13FE">
        <w:tblPrEx>
          <w:tblW w:w="5000" w:type="pct"/>
          <w:tblLayout w:type="fixed"/>
          <w:tblLook w:val="0000"/>
        </w:tblPrEx>
        <w:tc>
          <w:tcPr>
            <w:tcW w:w="607" w:type="dxa"/>
          </w:tcPr>
          <w:p w:rsidR="00F85C99" w:rsidRPr="002F6A28" w:rsidP="002F6A28" w14:paraId="04FA93CC" w14:textId="77777777">
            <w:pPr>
              <w:spacing w:before="120" w:after="120"/>
              <w:jc w:val="left"/>
            </w:pPr>
            <w:r w:rsidRPr="002F6A28">
              <w:rPr>
                <w:b/>
              </w:rPr>
              <w:t>2.</w:t>
            </w:r>
          </w:p>
        </w:tc>
        <w:tc>
          <w:tcPr>
            <w:tcW w:w="8373" w:type="dxa"/>
          </w:tcPr>
          <w:p w:rsidR="00F85C99" w:rsidRPr="002F6A28" w:rsidP="000C3B6C" w14:paraId="1C04A35F" w14:textId="77777777">
            <w:pPr>
              <w:spacing w:before="120" w:after="120"/>
            </w:pPr>
            <w:r w:rsidRPr="002F6A28">
              <w:rPr>
                <w:b/>
              </w:rPr>
              <w:t>Agency responsible:</w:t>
            </w:r>
            <w:r w:rsidRPr="00C379C8" w:rsidR="00EE3A11">
              <w:t xml:space="preserve"> </w:t>
            </w:r>
          </w:p>
          <w:p w:rsidR="00EE3A11" w:rsidRPr="00C379C8" w:rsidP="000C3B6C" w14:paraId="78FC3811" w14:textId="77777777">
            <w:r w:rsidRPr="00C379C8">
              <w:t>European Commission</w:t>
            </w:r>
          </w:p>
          <w:p w:rsidR="00EE3A11" w:rsidRPr="00C379C8" w:rsidP="000C3B6C" w14:paraId="7EFFEC18" w14:textId="77777777">
            <w:r w:rsidRPr="00C379C8">
              <w:t>EU-TBT Enquiry Point,</w:t>
            </w:r>
          </w:p>
          <w:p w:rsidR="00EE3A11" w:rsidRPr="00C379C8" w:rsidP="000C3B6C" w14:paraId="3B1141BD" w14:textId="77777777">
            <w:r w:rsidRPr="00C379C8">
              <w:t>Fax: +(32) 2 299 80 43,</w:t>
            </w:r>
          </w:p>
          <w:p w:rsidR="00EE3A11" w:rsidRPr="00C379C8" w:rsidP="000C3B6C" w14:paraId="2013D497" w14:textId="77777777">
            <w:r w:rsidRPr="00C379C8">
              <w:t xml:space="preserve">E-mail: </w:t>
            </w:r>
            <w:hyperlink r:id="rId6" w:history="1">
              <w:r w:rsidRPr="00C379C8">
                <w:rPr>
                  <w:color w:val="0000FF"/>
                  <w:u w:val="single"/>
                </w:rPr>
                <w:t>grow-eu-tbt@ec.europa.eu</w:t>
              </w:r>
            </w:hyperlink>
          </w:p>
          <w:p w:rsidR="00EE3A11" w:rsidRPr="00C379C8" w:rsidP="000C3B6C" w14:paraId="33CF7208"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67C62EA8" w14:textId="77777777" w:rsidTr="00DB13FE">
        <w:tblPrEx>
          <w:tblW w:w="5000" w:type="pct"/>
          <w:tblLayout w:type="fixed"/>
          <w:tblLook w:val="0000"/>
        </w:tblPrEx>
        <w:tc>
          <w:tcPr>
            <w:tcW w:w="607" w:type="dxa"/>
          </w:tcPr>
          <w:p w:rsidR="00F85C99" w:rsidRPr="002F6A28" w:rsidP="002F6A28" w14:paraId="689A891B" w14:textId="77777777">
            <w:pPr>
              <w:spacing w:before="120" w:after="120"/>
              <w:jc w:val="left"/>
              <w:rPr>
                <w:b/>
              </w:rPr>
            </w:pPr>
            <w:r w:rsidRPr="002F6A28">
              <w:rPr>
                <w:b/>
              </w:rPr>
              <w:t>3.</w:t>
            </w:r>
          </w:p>
        </w:tc>
        <w:tc>
          <w:tcPr>
            <w:tcW w:w="8373" w:type="dxa"/>
          </w:tcPr>
          <w:p w:rsidR="00F85C99" w:rsidRPr="0058336F" w:rsidP="002F6A28" w14:paraId="0B8AD2D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FB55800" w14:textId="77777777" w:rsidTr="00DB13FE">
        <w:tblPrEx>
          <w:tblW w:w="5000" w:type="pct"/>
          <w:tblLayout w:type="fixed"/>
          <w:tblLook w:val="0000"/>
        </w:tblPrEx>
        <w:tc>
          <w:tcPr>
            <w:tcW w:w="607" w:type="dxa"/>
          </w:tcPr>
          <w:p w:rsidR="00F85C99" w:rsidRPr="002F6A28" w:rsidP="002F6A28" w14:paraId="38F8CC9B" w14:textId="77777777">
            <w:pPr>
              <w:spacing w:before="120" w:after="120"/>
              <w:jc w:val="left"/>
            </w:pPr>
            <w:r w:rsidRPr="002F6A28">
              <w:rPr>
                <w:b/>
              </w:rPr>
              <w:t>4.</w:t>
            </w:r>
          </w:p>
        </w:tc>
        <w:tc>
          <w:tcPr>
            <w:tcW w:w="8373" w:type="dxa"/>
          </w:tcPr>
          <w:p w:rsidR="00F85C99" w:rsidRPr="002F6A28" w:rsidP="002F6A28" w14:paraId="3BCE2D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Recycled plastic waste </w:t>
            </w:r>
          </w:p>
        </w:tc>
      </w:tr>
      <w:tr w14:paraId="131F3ED4" w14:textId="77777777" w:rsidTr="00DB13FE">
        <w:tblPrEx>
          <w:tblW w:w="5000" w:type="pct"/>
          <w:tblLayout w:type="fixed"/>
          <w:tblLook w:val="0000"/>
        </w:tblPrEx>
        <w:tc>
          <w:tcPr>
            <w:tcW w:w="607" w:type="dxa"/>
          </w:tcPr>
          <w:p w:rsidR="00F85C99" w:rsidRPr="002F6A28" w:rsidP="002F6A28" w14:paraId="1AFDEE8A" w14:textId="77777777">
            <w:pPr>
              <w:spacing w:before="120" w:after="120"/>
              <w:jc w:val="left"/>
            </w:pPr>
            <w:r w:rsidRPr="002F6A28">
              <w:rPr>
                <w:b/>
              </w:rPr>
              <w:t>5.</w:t>
            </w:r>
          </w:p>
        </w:tc>
        <w:tc>
          <w:tcPr>
            <w:tcW w:w="8373" w:type="dxa"/>
          </w:tcPr>
          <w:p w:rsidR="00F85C99" w:rsidP="002F6A28" w14:paraId="1AB4E56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Regulation laying down rules for the application of Directive 2008/98/EC of the European Parliament and of the Council as regards criteria to determine when plastic waste ceases to be waste; (10 page(s), in English), (10 page(s), in English)</w:t>
            </w:r>
          </w:p>
          <w:p w:rsidR="000C3B6C" w:rsidRPr="000C3B6C" w:rsidP="002F6A28" w14:paraId="28D1358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F1E14" w:rsidRPr="00CE6C29" w:rsidP="002F6A28" w14:paraId="7D001E3D" w14:textId="77777777">
            <w:pPr>
              <w:pBdr>
                <w:top w:val="none" w:sz="0" w:space="4" w:color="auto"/>
              </w:pBdr>
              <w:rPr>
                <w:iCs/>
              </w:rPr>
            </w:pPr>
            <w:hyperlink r:id="rId8" w:tgtFrame="_blank" w:history="1">
              <w:r w:rsidRPr="00CE6C29">
                <w:rPr>
                  <w:iCs/>
                  <w:color w:val="0000FF"/>
                  <w:u w:val="single"/>
                </w:rPr>
                <w:t>https://members.wto.org/crnattachments/2026/TBT/EEC/26_04102_00_e.pdf</w:t>
              </w:r>
            </w:hyperlink>
          </w:p>
          <w:p w:rsidR="009F1E14" w:rsidRPr="00CE6C29" w:rsidP="002F6A28" w14:paraId="0894F6F6" w14:textId="77777777">
            <w:pPr>
              <w:pBdr>
                <w:bottom w:val="none" w:sz="0" w:space="4" w:color="auto"/>
              </w:pBdr>
              <w:rPr>
                <w:iCs/>
              </w:rPr>
            </w:pPr>
            <w:hyperlink r:id="rId9" w:tgtFrame="_blank" w:history="1">
              <w:r w:rsidRPr="00CE6C29">
                <w:rPr>
                  <w:iCs/>
                  <w:color w:val="0000FF"/>
                  <w:u w:val="single"/>
                </w:rPr>
                <w:t>https://members.wto.org/crnattachments/2026/TBT/EEC/26_04102_01_e.pdf</w:t>
              </w:r>
            </w:hyperlink>
          </w:p>
          <w:p w:rsidR="009F1E14" w:rsidRPr="00CE6C29" w:rsidP="002F6A28" w14:paraId="55D2E4F4" w14:textId="77777777">
            <w:pPr>
              <w:rPr>
                <w:iCs/>
              </w:rPr>
            </w:pPr>
            <w:r w:rsidRPr="00CE6C29">
              <w:rPr>
                <w:iCs/>
              </w:rPr>
              <w:t>European Commission</w:t>
            </w:r>
          </w:p>
          <w:p w:rsidR="009F1E14" w:rsidRPr="00CE6C29" w:rsidP="002F6A28" w14:paraId="16A63737" w14:textId="77777777">
            <w:pPr>
              <w:rPr>
                <w:iCs/>
              </w:rPr>
            </w:pPr>
            <w:r w:rsidRPr="00CE6C29">
              <w:rPr>
                <w:iCs/>
              </w:rPr>
              <w:t>EU-TBT Enquiry Point</w:t>
            </w:r>
          </w:p>
          <w:p w:rsidR="009F1E14" w:rsidRPr="00CE6C29" w:rsidP="002F6A28" w14:paraId="01A0F2E7" w14:textId="77777777">
            <w:pPr>
              <w:rPr>
                <w:iCs/>
              </w:rPr>
            </w:pPr>
            <w:r w:rsidRPr="00CE6C29">
              <w:rPr>
                <w:iCs/>
              </w:rPr>
              <w:t>Fax: + (32) 2 299 80 43</w:t>
            </w:r>
          </w:p>
          <w:p w:rsidR="009F1E14" w:rsidRPr="00CE6C29" w:rsidP="002F6A28" w14:paraId="16934B0E" w14:textId="77777777">
            <w:pPr>
              <w:rPr>
                <w:iCs/>
              </w:rPr>
            </w:pPr>
            <w:r w:rsidRPr="00CE6C29">
              <w:rPr>
                <w:iCs/>
              </w:rPr>
              <w:t xml:space="preserve">E-mail: </w:t>
            </w:r>
            <w:hyperlink r:id="rId6" w:history="1">
              <w:r w:rsidRPr="00CE6C29">
                <w:rPr>
                  <w:iCs/>
                  <w:color w:val="0000FF"/>
                  <w:u w:val="single"/>
                </w:rPr>
                <w:t>grow-eu-tbt@ec.europa.eu</w:t>
              </w:r>
            </w:hyperlink>
          </w:p>
          <w:p w:rsidR="009F1E14" w:rsidRPr="00CE6C29" w:rsidP="002F6A28" w14:paraId="2BB32856"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3CACD414" w14:textId="77777777" w:rsidTr="00DB13FE">
        <w:tblPrEx>
          <w:tblW w:w="5000" w:type="pct"/>
          <w:tblLayout w:type="fixed"/>
          <w:tblLook w:val="0000"/>
        </w:tblPrEx>
        <w:tc>
          <w:tcPr>
            <w:tcW w:w="607" w:type="dxa"/>
          </w:tcPr>
          <w:p w:rsidR="00F85C99" w:rsidRPr="002F6A28" w:rsidP="002F6A28" w14:paraId="30BA031A" w14:textId="77777777">
            <w:pPr>
              <w:spacing w:before="120" w:after="120"/>
              <w:jc w:val="left"/>
              <w:rPr>
                <w:b/>
              </w:rPr>
            </w:pPr>
            <w:r w:rsidRPr="002F6A28">
              <w:rPr>
                <w:b/>
              </w:rPr>
              <w:t>6.</w:t>
            </w:r>
          </w:p>
        </w:tc>
        <w:tc>
          <w:tcPr>
            <w:tcW w:w="8373" w:type="dxa"/>
          </w:tcPr>
          <w:p w:rsidR="00F85C99" w:rsidRPr="002F6A28" w:rsidP="002F6A28" w14:paraId="6B15C17D" w14:textId="77777777">
            <w:pPr>
              <w:spacing w:before="120" w:after="120"/>
              <w:rPr>
                <w:b/>
              </w:rPr>
            </w:pPr>
            <w:r w:rsidRPr="002F6A28">
              <w:rPr>
                <w:b/>
              </w:rPr>
              <w:t>Description of content:</w:t>
            </w:r>
            <w:r w:rsidRPr="00C379C8" w:rsidR="00FE448B">
              <w:t xml:space="preserve"> The draft Commission Implementing Regulation sets harmonised Union-wide end-of-waste criteria for plastic waste, in accordance with the empowerment set out in Article 6(2) of Directive 2008/98/EC of the European Parliament and of the Council on waste. The draft Commission Implementing Regulation will apply to all discarded thermoplastic plastic polymers and blends of thermoplastic polymers, regardless of the polymer type and source of the waste, which can be used as input for mechanical or solvent-based recycling. The Union-wide end-of-waste criteria will apply also to operators in third countries that would like to place on the union market recycled plastic as non-waste (article 5 of the Commission Implementing Regulation).</w:t>
            </w:r>
          </w:p>
        </w:tc>
      </w:tr>
      <w:tr w14:paraId="120FC93D" w14:textId="77777777" w:rsidTr="0052542A">
        <w:tblPrEx>
          <w:tblW w:w="5000" w:type="pct"/>
          <w:tblLayout w:type="fixed"/>
          <w:tblLook w:val="0000"/>
        </w:tblPrEx>
        <w:trPr>
          <w:cantSplit/>
        </w:trPr>
        <w:tc>
          <w:tcPr>
            <w:tcW w:w="607" w:type="dxa"/>
          </w:tcPr>
          <w:p w:rsidR="00F85C99" w:rsidRPr="002F6A28" w:rsidP="002F6A28" w14:paraId="4D50E8A5" w14:textId="77777777">
            <w:pPr>
              <w:spacing w:before="120" w:after="120"/>
              <w:jc w:val="left"/>
              <w:rPr>
                <w:b/>
              </w:rPr>
            </w:pPr>
            <w:r w:rsidRPr="002F6A28">
              <w:rPr>
                <w:b/>
              </w:rPr>
              <w:t>7.</w:t>
            </w:r>
          </w:p>
        </w:tc>
        <w:tc>
          <w:tcPr>
            <w:tcW w:w="8373" w:type="dxa"/>
          </w:tcPr>
          <w:p w:rsidR="00F85C99" w:rsidRPr="002F6A28" w:rsidP="002F6A28" w14:paraId="33F9D291" w14:textId="77777777">
            <w:pPr>
              <w:spacing w:before="120" w:after="120"/>
              <w:rPr>
                <w:b/>
              </w:rPr>
            </w:pPr>
            <w:r w:rsidRPr="002F6A28">
              <w:rPr>
                <w:b/>
              </w:rPr>
              <w:t>Objective and rationale, including the nature of urgent problems where applicable:</w:t>
            </w:r>
            <w:r w:rsidRPr="00C379C8" w:rsidR="00EE3A11">
              <w:t xml:space="preserve"> The objective of the draft Commission Implementing Regulation is to establish Union-wide end-of-waste criteria for plastics to strengthen the creation of a single market for recycled plastics and for secondary raw materials ready to be used in the manufacturing of new goods. The Union-wide end-of-waste criteria for plastic waste aim to reduce administrative burdens for recyclers, notably small and medium-size enterprises, and costs related to the shipment of plastic waste, and ensure a stable supply of high-quality </w:t>
            </w:r>
            <w:r w:rsidRPr="00C379C8" w:rsidR="00EE3A11">
              <w:t>recyclates</w:t>
            </w:r>
            <w:r w:rsidRPr="00C379C8" w:rsidR="00EE3A11">
              <w:t xml:space="preserve"> across the Union while promoting circular economy. ; Protection of the environment; Reducing trade barriers and facilitating trade</w:t>
            </w:r>
          </w:p>
        </w:tc>
      </w:tr>
      <w:tr w14:paraId="59E13EBF" w14:textId="77777777" w:rsidTr="00DB13FE">
        <w:tblPrEx>
          <w:tblW w:w="5000" w:type="pct"/>
          <w:tblLayout w:type="fixed"/>
          <w:tblLook w:val="0000"/>
        </w:tblPrEx>
        <w:tc>
          <w:tcPr>
            <w:tcW w:w="607" w:type="dxa"/>
          </w:tcPr>
          <w:p w:rsidR="00F85C99" w:rsidRPr="002F6A28" w:rsidP="009E75ED" w14:paraId="02A7E45C" w14:textId="77777777">
            <w:pPr>
              <w:spacing w:before="120" w:after="120"/>
              <w:jc w:val="left"/>
              <w:rPr>
                <w:b/>
              </w:rPr>
            </w:pPr>
            <w:r w:rsidRPr="002F6A28">
              <w:rPr>
                <w:b/>
              </w:rPr>
              <w:t>8.</w:t>
            </w:r>
          </w:p>
        </w:tc>
        <w:tc>
          <w:tcPr>
            <w:tcW w:w="8373" w:type="dxa"/>
          </w:tcPr>
          <w:p w:rsidR="000C3B6C" w:rsidRPr="00EC00D2" w:rsidP="007F13E8" w14:paraId="7DF03D90" w14:textId="77777777">
            <w:pPr>
              <w:spacing w:before="120" w:after="120"/>
              <w:rPr>
                <w:bCs/>
              </w:rPr>
            </w:pPr>
            <w:r w:rsidRPr="002F6A28">
              <w:rPr>
                <w:b/>
              </w:rPr>
              <w:t>Relevant documents:</w:t>
            </w:r>
            <w:r w:rsidRPr="002F6A28" w:rsidR="00EE3A11">
              <w:t xml:space="preserve"> </w:t>
            </w:r>
          </w:p>
          <w:p w:rsidR="00EE3A11" w:rsidRPr="002F6A28" w:rsidP="007F13E8" w14:paraId="0476BA99" w14:textId="77777777">
            <w:pPr>
              <w:spacing w:before="120" w:after="120"/>
            </w:pPr>
            <w:r w:rsidRPr="002F6A28">
              <w:t xml:space="preserve">-Pierri, E., Egle, L., Milios, L. and </w:t>
            </w:r>
            <w:r w:rsidRPr="002F6A28">
              <w:t>Saveyn</w:t>
            </w:r>
            <w:r w:rsidRPr="002F6A28">
              <w:t>, H., EU-wide end-of-waste criteria for plastic waste, Publications Office of the European Union, Luxembourg, 2024, doi:10.2760/9234350, JRC139303</w:t>
            </w:r>
          </w:p>
        </w:tc>
      </w:tr>
      <w:tr w14:paraId="781D4481" w14:textId="77777777" w:rsidTr="00DB13FE">
        <w:tblPrEx>
          <w:tblW w:w="5000" w:type="pct"/>
          <w:tblLayout w:type="fixed"/>
          <w:tblLook w:val="0000"/>
        </w:tblPrEx>
        <w:tc>
          <w:tcPr>
            <w:tcW w:w="607" w:type="dxa"/>
          </w:tcPr>
          <w:p w:rsidR="00EE3A11" w:rsidRPr="002F6A28" w:rsidP="002F6A28" w14:paraId="313103F3" w14:textId="77777777">
            <w:pPr>
              <w:spacing w:before="120" w:after="120"/>
              <w:jc w:val="left"/>
              <w:rPr>
                <w:b/>
              </w:rPr>
            </w:pPr>
            <w:r w:rsidRPr="002F6A28">
              <w:rPr>
                <w:b/>
              </w:rPr>
              <w:t>9.</w:t>
            </w:r>
          </w:p>
        </w:tc>
        <w:tc>
          <w:tcPr>
            <w:tcW w:w="8373" w:type="dxa"/>
          </w:tcPr>
          <w:p w:rsidR="00EE3A11" w:rsidRPr="002F6A28" w:rsidP="008953C4" w14:paraId="40713D98" w14:textId="77777777">
            <w:pPr>
              <w:spacing w:before="120" w:after="120"/>
            </w:pPr>
            <w:r w:rsidRPr="002F6A28">
              <w:rPr>
                <w:b/>
              </w:rPr>
              <w:t>Proposed date of adoption:</w:t>
            </w:r>
            <w:r w:rsidRPr="00C379C8">
              <w:t xml:space="preserve"> October 2026</w:t>
            </w:r>
          </w:p>
          <w:p w:rsidR="00EE3A11" w:rsidRPr="002F6A28" w:rsidP="008953C4" w14:paraId="5354D286" w14:textId="77777777">
            <w:pPr>
              <w:spacing w:after="120"/>
            </w:pPr>
            <w:r w:rsidRPr="002F6A28">
              <w:rPr>
                <w:b/>
              </w:rPr>
              <w:t>Proposed date of entry into force:</w:t>
            </w:r>
            <w:r w:rsidRPr="00C379C8">
              <w:t xml:space="preserve"> twentieth day following that of its publication in the Official Journal of the European Union – date of application: first day of the month of entry into force plus 6 months.</w:t>
            </w:r>
          </w:p>
        </w:tc>
      </w:tr>
      <w:tr w14:paraId="21A1DF10" w14:textId="77777777" w:rsidTr="00DB13FE">
        <w:tblPrEx>
          <w:tblW w:w="5000" w:type="pct"/>
          <w:tblLayout w:type="fixed"/>
          <w:tblLook w:val="0000"/>
        </w:tblPrEx>
        <w:tc>
          <w:tcPr>
            <w:tcW w:w="607" w:type="dxa"/>
            <w:tcBorders>
              <w:bottom w:val="double" w:sz="4" w:space="0" w:color="auto"/>
            </w:tcBorders>
          </w:tcPr>
          <w:p w:rsidR="00F85C99" w:rsidRPr="002F6A28" w:rsidP="002F6A28" w14:paraId="15DA03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BD4CF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3E1E61" w14:textId="77777777">
            <w:pPr>
              <w:spacing w:before="120" w:after="120"/>
              <w:rPr>
                <w:bCs/>
              </w:rPr>
            </w:pPr>
            <w:r w:rsidRPr="002F6A28">
              <w:rPr>
                <w:b/>
              </w:rPr>
              <w:t>Final date for comments:</w:t>
            </w:r>
            <w:r w:rsidRPr="00C379C8" w:rsidR="00EE3A11">
              <w:t xml:space="preserve"> 20 September 2026 (45 days from notification)</w:t>
            </w:r>
          </w:p>
          <w:p w:rsidR="000C3B6C" w:rsidRPr="00E3324D" w:rsidP="000C3B6C" w14:paraId="3E20651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BD3659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7EC64AF" w14:textId="77777777">
            <w:r w:rsidRPr="00CE6C29">
              <w:t>European Commission,</w:t>
            </w:r>
          </w:p>
          <w:p w:rsidR="00CE6C29" w:rsidRPr="00CE6C29" w:rsidP="000C3B6C" w14:paraId="42DF74E7" w14:textId="77777777">
            <w:r w:rsidRPr="00CE6C29">
              <w:t>EU-TBT Enquiry Point,</w:t>
            </w:r>
          </w:p>
          <w:p w:rsidR="00CE6C29" w:rsidRPr="00CE6C29" w:rsidP="000C3B6C" w14:paraId="119487FB" w14:textId="77777777">
            <w:r w:rsidRPr="00CE6C29">
              <w:t>Fax: + (32) 2 299 80 43,</w:t>
            </w:r>
          </w:p>
          <w:p w:rsidR="00CE6C29" w:rsidRPr="00CE6C29" w:rsidP="000C3B6C" w14:paraId="0A31554B"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59F720DC"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29B5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7E6A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8FA5C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297226" w14:textId="77777777">
    <w:pPr>
      <w:pStyle w:val="Header"/>
      <w:pBdr>
        <w:bottom w:val="single" w:sz="4" w:space="1" w:color="auto"/>
      </w:pBdr>
      <w:tabs>
        <w:tab w:val="clear" w:pos="4513"/>
        <w:tab w:val="clear" w:pos="9027"/>
      </w:tabs>
      <w:jc w:val="center"/>
    </w:pPr>
    <w:r w:rsidRPr="002F6A28">
      <w:t>tbtSymbol</w:t>
    </w:r>
  </w:p>
  <w:p w:rsidR="009239F7" w:rsidRPr="002F6A28" w:rsidP="009239F7" w14:paraId="3B0D07C7" w14:textId="77777777">
    <w:pPr>
      <w:pStyle w:val="Header"/>
      <w:pBdr>
        <w:bottom w:val="single" w:sz="4" w:space="1" w:color="auto"/>
      </w:pBdr>
      <w:tabs>
        <w:tab w:val="clear" w:pos="4513"/>
        <w:tab w:val="clear" w:pos="9027"/>
      </w:tabs>
      <w:jc w:val="center"/>
    </w:pPr>
  </w:p>
  <w:p w:rsidR="009239F7" w:rsidRPr="002F6A28" w:rsidP="009239F7" w14:paraId="7DF02D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0A35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3624E8" w14:textId="77777777">
    <w:pPr>
      <w:pStyle w:val="Header"/>
      <w:pBdr>
        <w:bottom w:val="single" w:sz="4" w:space="1" w:color="auto"/>
      </w:pBdr>
      <w:tabs>
        <w:tab w:val="clear" w:pos="4513"/>
        <w:tab w:val="clear" w:pos="9027"/>
      </w:tabs>
      <w:jc w:val="center"/>
    </w:pPr>
    <w:bookmarkStart w:id="0" w:name="spsSymbolHeader"/>
    <w:r w:rsidRPr="002F6A28">
      <w:t>G/TBT/N/EU/1229</w:t>
    </w:r>
    <w:bookmarkEnd w:id="0"/>
  </w:p>
  <w:p w:rsidR="009239F7" w:rsidRPr="002F6A28" w:rsidP="009239F7" w14:paraId="5F32B87D" w14:textId="77777777">
    <w:pPr>
      <w:pStyle w:val="Header"/>
      <w:pBdr>
        <w:bottom w:val="single" w:sz="4" w:space="1" w:color="auto"/>
      </w:pBdr>
      <w:tabs>
        <w:tab w:val="clear" w:pos="4513"/>
        <w:tab w:val="clear" w:pos="9027"/>
      </w:tabs>
      <w:jc w:val="center"/>
    </w:pPr>
  </w:p>
  <w:p w:rsidR="009239F7" w:rsidRPr="002F6A28" w:rsidP="009239F7" w14:paraId="37DC75F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FA572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F654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D63EB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319A39" w14:textId="77777777">
          <w:pPr>
            <w:jc w:val="right"/>
            <w:rPr>
              <w:b/>
              <w:color w:val="FF0000"/>
              <w:szCs w:val="16"/>
            </w:rPr>
          </w:pPr>
        </w:p>
      </w:tc>
    </w:tr>
    <w:bookmarkEnd w:id="1"/>
    <w:tr w14:paraId="152AD5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042EC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84367B" w14:textId="77777777">
          <w:pPr>
            <w:jc w:val="right"/>
            <w:rPr>
              <w:b/>
              <w:szCs w:val="16"/>
            </w:rPr>
          </w:pPr>
        </w:p>
      </w:tc>
    </w:tr>
    <w:tr w14:paraId="1FE34E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4DF1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3E94E7" w14:textId="77777777">
          <w:pPr>
            <w:jc w:val="right"/>
            <w:rPr>
              <w:b/>
              <w:szCs w:val="16"/>
            </w:rPr>
          </w:pPr>
          <w:bookmarkStart w:id="2" w:name="bmkSymbols"/>
          <w:r w:rsidRPr="002F6A28">
            <w:rPr>
              <w:b/>
              <w:szCs w:val="16"/>
            </w:rPr>
            <w:t>G/TBT/N/EU/1229</w:t>
          </w:r>
          <w:bookmarkEnd w:id="2"/>
        </w:p>
      </w:tc>
    </w:tr>
    <w:tr w14:paraId="6ECE722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3B7368" w14:textId="77777777"/>
      </w:tc>
      <w:tc>
        <w:tcPr>
          <w:tcW w:w="5448" w:type="dxa"/>
          <w:gridSpan w:val="2"/>
          <w:shd w:val="clear" w:color="auto" w:fill="FFFFFF"/>
          <w:tcMar>
            <w:left w:w="108" w:type="dxa"/>
            <w:right w:w="108" w:type="dxa"/>
          </w:tcMar>
          <w:vAlign w:val="center"/>
        </w:tcPr>
        <w:p w:rsidR="00ED54E0" w:rsidRPr="009239F7" w:rsidP="00B801E9" w14:paraId="79C7532A" w14:textId="77777777">
          <w:pPr>
            <w:jc w:val="right"/>
            <w:rPr>
              <w:szCs w:val="16"/>
            </w:rPr>
          </w:pPr>
          <w:bookmarkStart w:id="3" w:name="spsDateDistribution"/>
          <w:bookmarkStart w:id="4" w:name="bmkDate"/>
          <w:r w:rsidRPr="009239F7">
            <w:rPr>
              <w:szCs w:val="16"/>
            </w:rPr>
            <w:t>6 August 2026</w:t>
          </w:r>
          <w:bookmarkEnd w:id="3"/>
          <w:bookmarkEnd w:id="4"/>
        </w:p>
      </w:tc>
    </w:tr>
    <w:tr w14:paraId="09FBB0D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FE6B23" w14:textId="77777777">
          <w:pPr>
            <w:jc w:val="left"/>
            <w:rPr>
              <w:b/>
            </w:rPr>
          </w:pPr>
          <w:bookmarkStart w:id="5" w:name="bmkSerial"/>
          <w:r>
            <w:rPr>
              <w:rFonts w:ascii="Verdana" w:eastAsia="Verdana" w:hAnsi="Verdana" w:cs="Verdana"/>
              <w:b w:val="0"/>
              <w:color w:val="FF0000"/>
              <w:sz w:val="18"/>
            </w:rPr>
            <w:t>(26-5590)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60C1E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1378B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BCA31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CA7C6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70A39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6900400">
    <w:abstractNumId w:val="9"/>
  </w:num>
  <w:num w:numId="2" w16cid:durableId="1341662762">
    <w:abstractNumId w:val="7"/>
  </w:num>
  <w:num w:numId="3" w16cid:durableId="1718819440">
    <w:abstractNumId w:val="6"/>
  </w:num>
  <w:num w:numId="4" w16cid:durableId="2126073688">
    <w:abstractNumId w:val="5"/>
  </w:num>
  <w:num w:numId="5" w16cid:durableId="1171405353">
    <w:abstractNumId w:val="4"/>
  </w:num>
  <w:num w:numId="6" w16cid:durableId="1824155366">
    <w:abstractNumId w:val="12"/>
  </w:num>
  <w:num w:numId="7" w16cid:durableId="1411346722">
    <w:abstractNumId w:val="11"/>
  </w:num>
  <w:num w:numId="8" w16cid:durableId="1161583257">
    <w:abstractNumId w:val="10"/>
  </w:num>
  <w:num w:numId="9" w16cid:durableId="748694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1402947">
    <w:abstractNumId w:val="13"/>
  </w:num>
  <w:num w:numId="11" w16cid:durableId="336272435">
    <w:abstractNumId w:val="8"/>
  </w:num>
  <w:num w:numId="12" w16cid:durableId="1741102114">
    <w:abstractNumId w:val="3"/>
  </w:num>
  <w:num w:numId="13" w16cid:durableId="390538008">
    <w:abstractNumId w:val="2"/>
  </w:num>
  <w:num w:numId="14" w16cid:durableId="638193509">
    <w:abstractNumId w:val="1"/>
  </w:num>
  <w:num w:numId="15" w16cid:durableId="119677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66046"/>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0A44"/>
    <w:rsid w:val="004423A4"/>
    <w:rsid w:val="00467032"/>
    <w:rsid w:val="0046754A"/>
    <w:rsid w:val="00473B57"/>
    <w:rsid w:val="0048173D"/>
    <w:rsid w:val="004A23F8"/>
    <w:rsid w:val="004C274C"/>
    <w:rsid w:val="004C27A4"/>
    <w:rsid w:val="004E51B2"/>
    <w:rsid w:val="004F203A"/>
    <w:rsid w:val="005104AF"/>
    <w:rsid w:val="0052542A"/>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04DF"/>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2F06"/>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E14"/>
    <w:rsid w:val="009F1F2F"/>
    <w:rsid w:val="009F21A8"/>
    <w:rsid w:val="00A12DDE"/>
    <w:rsid w:val="00A1346F"/>
    <w:rsid w:val="00A31389"/>
    <w:rsid w:val="00A34DBD"/>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A0F2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102_00_e.pdf" TargetMode="External" /><Relationship Id="rId9" Type="http://schemas.openxmlformats.org/officeDocument/2006/relationships/hyperlink" Target="https://members.wto.org/crnattachments/2026/TBT/EEC/26_04102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713B-6230-4B27-A038-69EBA2DC0A2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2026-08-06T10:00:00Z</dcterms:created>
  <dcterms:modified xsi:type="dcterms:W3CDTF">2026-08-06T10:21:00Z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