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39B77CC" w14:textId="77777777">
      <w:pPr>
        <w:pStyle w:val="Title"/>
        <w:rPr>
          <w:caps w:val="0"/>
          <w:kern w:val="0"/>
        </w:rPr>
      </w:pPr>
      <w:r w:rsidRPr="002F6A28">
        <w:rPr>
          <w:caps w:val="0"/>
          <w:kern w:val="0"/>
        </w:rPr>
        <w:t>NOTIFICATION</w:t>
      </w:r>
    </w:p>
    <w:p w:rsidR="009239F7" w:rsidRPr="002F6A28" w:rsidP="002F6A28" w14:paraId="7E4F82E8" w14:textId="77777777">
      <w:pPr>
        <w:jc w:val="center"/>
      </w:pPr>
      <w:r w:rsidRPr="002F6A28">
        <w:t>The following notification is being circulated in accordance with Article 10.6</w:t>
      </w:r>
    </w:p>
    <w:p w:rsidR="009239F7" w:rsidRPr="002F6A28" w:rsidP="002F6A28" w14:paraId="4B5DE82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306922C" w14:textId="77777777" w:rsidTr="00DB13FE">
        <w:tblPrEx>
          <w:tblW w:w="5000" w:type="pct"/>
          <w:tblLayout w:type="fixed"/>
          <w:tblLook w:val="0000"/>
        </w:tblPrEx>
        <w:tc>
          <w:tcPr>
            <w:tcW w:w="607" w:type="dxa"/>
            <w:tcBorders>
              <w:top w:val="double" w:sz="4" w:space="0" w:color="auto"/>
            </w:tcBorders>
          </w:tcPr>
          <w:p w:rsidR="00F85C99" w:rsidRPr="002F6A28" w:rsidP="002F6A28" w14:paraId="6CA0135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41284AF"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6579217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DF84262" w14:textId="77777777" w:rsidTr="00DB13FE">
        <w:tblPrEx>
          <w:tblW w:w="5000" w:type="pct"/>
          <w:tblLayout w:type="fixed"/>
          <w:tblLook w:val="0000"/>
        </w:tblPrEx>
        <w:tc>
          <w:tcPr>
            <w:tcW w:w="607" w:type="dxa"/>
          </w:tcPr>
          <w:p w:rsidR="00F85C99" w:rsidRPr="002F6A28" w:rsidP="002F6A28" w14:paraId="5E22930D" w14:textId="77777777">
            <w:pPr>
              <w:spacing w:before="120" w:after="120"/>
              <w:jc w:val="left"/>
            </w:pPr>
            <w:r w:rsidRPr="002F6A28">
              <w:rPr>
                <w:b/>
              </w:rPr>
              <w:t>2.</w:t>
            </w:r>
          </w:p>
        </w:tc>
        <w:tc>
          <w:tcPr>
            <w:tcW w:w="8373" w:type="dxa"/>
          </w:tcPr>
          <w:p w:rsidR="00F85C99" w:rsidRPr="002F6A28" w:rsidP="000C3B6C" w14:paraId="6F70374E" w14:textId="77777777">
            <w:pPr>
              <w:spacing w:before="120" w:after="120"/>
            </w:pPr>
            <w:r w:rsidRPr="002F6A28">
              <w:rPr>
                <w:b/>
              </w:rPr>
              <w:t>Agency responsible:</w:t>
            </w:r>
            <w:r w:rsidRPr="00C379C8" w:rsidR="00EE3A11">
              <w:t xml:space="preserve"> </w:t>
            </w:r>
          </w:p>
          <w:p w:rsidR="00EE3A11" w:rsidRPr="00C379C8" w:rsidP="000C3B6C" w14:paraId="3F06A685" w14:textId="77777777">
            <w:r w:rsidRPr="00C379C8">
              <w:t>Israel WTO-TBT Enquiry Point</w:t>
            </w:r>
          </w:p>
          <w:p w:rsidR="00EE3A11" w:rsidRPr="00C379C8" w:rsidP="000C3B6C" w14:paraId="7D2F0777" w14:textId="77777777">
            <w:r w:rsidRPr="00C379C8">
              <w:t>Ministry of Economy and Industry</w:t>
            </w:r>
          </w:p>
          <w:p w:rsidR="00EE3A11" w:rsidRPr="00C379C8" w:rsidP="000C3B6C" w14:paraId="103E678E" w14:textId="77777777">
            <w:r w:rsidRPr="00C379C8">
              <w:t>Tel: + (972) 74 7502236</w:t>
            </w:r>
          </w:p>
          <w:p w:rsidR="00EE3A11" w:rsidRPr="00C379C8" w:rsidP="000C3B6C" w14:paraId="451767DC" w14:textId="77777777">
            <w:pPr>
              <w:spacing w:after="120"/>
            </w:pPr>
            <w:r w:rsidRPr="00C379C8">
              <w:t xml:space="preserve">E-mail: </w:t>
            </w:r>
            <w:hyperlink r:id="rId6" w:history="1">
              <w:r w:rsidRPr="00C379C8">
                <w:rPr>
                  <w:color w:val="0000FF"/>
                  <w:u w:val="single"/>
                </w:rPr>
                <w:t>Yael.Friedgut@service.economy.gov.il</w:t>
              </w:r>
            </w:hyperlink>
          </w:p>
        </w:tc>
      </w:tr>
      <w:tr w14:paraId="5B93429D" w14:textId="77777777" w:rsidTr="00DB13FE">
        <w:tblPrEx>
          <w:tblW w:w="5000" w:type="pct"/>
          <w:tblLayout w:type="fixed"/>
          <w:tblLook w:val="0000"/>
        </w:tblPrEx>
        <w:tc>
          <w:tcPr>
            <w:tcW w:w="607" w:type="dxa"/>
          </w:tcPr>
          <w:p w:rsidR="00F85C99" w:rsidRPr="002F6A28" w:rsidP="002F6A28" w14:paraId="28176CD0" w14:textId="77777777">
            <w:pPr>
              <w:spacing w:before="120" w:after="120"/>
              <w:jc w:val="left"/>
              <w:rPr>
                <w:b/>
              </w:rPr>
            </w:pPr>
            <w:r w:rsidRPr="002F6A28">
              <w:rPr>
                <w:b/>
              </w:rPr>
              <w:t>3.</w:t>
            </w:r>
          </w:p>
        </w:tc>
        <w:tc>
          <w:tcPr>
            <w:tcW w:w="8373" w:type="dxa"/>
          </w:tcPr>
          <w:p w:rsidR="00F85C99" w:rsidRPr="0058336F" w:rsidP="002F6A28" w14:paraId="25B63EC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ED2B2DF" w14:textId="77777777" w:rsidTr="00DB13FE">
        <w:tblPrEx>
          <w:tblW w:w="5000" w:type="pct"/>
          <w:tblLayout w:type="fixed"/>
          <w:tblLook w:val="0000"/>
        </w:tblPrEx>
        <w:tc>
          <w:tcPr>
            <w:tcW w:w="607" w:type="dxa"/>
          </w:tcPr>
          <w:p w:rsidR="00F85C99" w:rsidRPr="002F6A28" w:rsidP="002F6A28" w14:paraId="3B6F7793" w14:textId="77777777">
            <w:pPr>
              <w:spacing w:before="120" w:after="120"/>
              <w:jc w:val="left"/>
            </w:pPr>
            <w:r w:rsidRPr="002F6A28">
              <w:rPr>
                <w:b/>
              </w:rPr>
              <w:t>4.</w:t>
            </w:r>
          </w:p>
        </w:tc>
        <w:tc>
          <w:tcPr>
            <w:tcW w:w="8373" w:type="dxa"/>
          </w:tcPr>
          <w:p w:rsidR="00F85C99" w:rsidRPr="002F6A28" w:rsidP="002F6A28" w14:paraId="3E4B038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Labeling provisions on processed meat and imported fish (ICS code(s): 67.040; 67.050; 67.120)</w:t>
            </w:r>
          </w:p>
        </w:tc>
      </w:tr>
      <w:tr w14:paraId="2B645A24" w14:textId="77777777" w:rsidTr="00DB13FE">
        <w:tblPrEx>
          <w:tblW w:w="5000" w:type="pct"/>
          <w:tblLayout w:type="fixed"/>
          <w:tblLook w:val="0000"/>
        </w:tblPrEx>
        <w:tc>
          <w:tcPr>
            <w:tcW w:w="607" w:type="dxa"/>
          </w:tcPr>
          <w:p w:rsidR="00F85C99" w:rsidRPr="002F6A28" w:rsidP="002F6A28" w14:paraId="5424FFA2" w14:textId="77777777">
            <w:pPr>
              <w:spacing w:before="120" w:after="120"/>
              <w:jc w:val="left"/>
            </w:pPr>
            <w:r w:rsidRPr="002F6A28">
              <w:rPr>
                <w:b/>
              </w:rPr>
              <w:t>5.</w:t>
            </w:r>
          </w:p>
        </w:tc>
        <w:tc>
          <w:tcPr>
            <w:tcW w:w="8373" w:type="dxa"/>
          </w:tcPr>
          <w:p w:rsidR="00F85C99" w:rsidP="002F6A28" w14:paraId="2A6FD5E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Public Health Protection (Food) (Amendment of the Second Annex A) (Regulation 1169/2011) (Postponement of application of labeling provisions on processed meat and imported fish) (Temporary Order); (4 page(s), in Hebrew)</w:t>
            </w:r>
          </w:p>
          <w:p w:rsidR="000C3B6C" w:rsidRPr="000C3B6C" w:rsidP="002F6A28" w14:paraId="1F6DAF8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268B5" w:rsidRPr="00CE6C29" w:rsidP="002F6A28" w14:paraId="4DF46347"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https://members.wto.org/crnattachments/2026/TBT/ISR/26_04055_00_x.pdf</w:t>
              </w:r>
            </w:hyperlink>
          </w:p>
          <w:p w:rsidR="00E268B5" w:rsidRPr="00CE6C29" w:rsidP="002F6A28" w14:paraId="33917755" w14:textId="77777777">
            <w:pPr>
              <w:rPr>
                <w:iCs/>
              </w:rPr>
            </w:pPr>
            <w:r w:rsidRPr="00CE6C29">
              <w:rPr>
                <w:iCs/>
              </w:rPr>
              <w:t>Health Regulation Directorate (Food, Alcoholic Beverages and Cosmetics)</w:t>
            </w:r>
          </w:p>
          <w:p w:rsidR="00E268B5" w:rsidRPr="00CE6C29" w:rsidP="002F6A28" w14:paraId="6E9BB7DD" w14:textId="77777777">
            <w:pPr>
              <w:rPr>
                <w:iCs/>
              </w:rPr>
            </w:pPr>
            <w:r w:rsidRPr="00CE6C29">
              <w:rPr>
                <w:iCs/>
              </w:rPr>
              <w:t>Ministry of Health</w:t>
            </w:r>
          </w:p>
          <w:p w:rsidR="00E268B5" w:rsidRPr="00CE6C29" w:rsidP="002F6A28" w14:paraId="66E99E22" w14:textId="77777777">
            <w:pPr>
              <w:spacing w:after="120"/>
              <w:rPr>
                <w:iCs/>
              </w:rPr>
            </w:pPr>
            <w:r w:rsidRPr="00CE6C29">
              <w:rPr>
                <w:iCs/>
              </w:rPr>
              <w:t xml:space="preserve">E-mail: </w:t>
            </w:r>
            <w:hyperlink r:id="rId8" w:history="1">
              <w:r w:rsidRPr="00CE6C29">
                <w:rPr>
                  <w:iCs/>
                  <w:color w:val="0000FF"/>
                  <w:u w:val="single"/>
                </w:rPr>
                <w:t>matan.shiner@moh.gov.il</w:t>
              </w:r>
            </w:hyperlink>
          </w:p>
        </w:tc>
      </w:tr>
      <w:tr w14:paraId="4FB1E572" w14:textId="77777777" w:rsidTr="00DB13FE">
        <w:tblPrEx>
          <w:tblW w:w="5000" w:type="pct"/>
          <w:tblLayout w:type="fixed"/>
          <w:tblLook w:val="0000"/>
        </w:tblPrEx>
        <w:tc>
          <w:tcPr>
            <w:tcW w:w="607" w:type="dxa"/>
          </w:tcPr>
          <w:p w:rsidR="00F85C99" w:rsidRPr="002F6A28" w:rsidP="002F6A28" w14:paraId="43E2DE1C" w14:textId="77777777">
            <w:pPr>
              <w:spacing w:before="120" w:after="120"/>
              <w:jc w:val="left"/>
              <w:rPr>
                <w:b/>
              </w:rPr>
            </w:pPr>
            <w:r w:rsidRPr="002F6A28">
              <w:rPr>
                <w:b/>
              </w:rPr>
              <w:t>6.</w:t>
            </w:r>
          </w:p>
        </w:tc>
        <w:tc>
          <w:tcPr>
            <w:tcW w:w="8373" w:type="dxa"/>
          </w:tcPr>
          <w:p w:rsidR="00F85C99" w:rsidRPr="002F6A28" w:rsidP="002F6A28" w14:paraId="716FB980" w14:textId="77777777">
            <w:pPr>
              <w:spacing w:before="120" w:after="120"/>
              <w:rPr>
                <w:b/>
              </w:rPr>
            </w:pPr>
            <w:r w:rsidRPr="002F6A28">
              <w:rPr>
                <w:b/>
              </w:rPr>
              <w:t>Description of content:</w:t>
            </w:r>
            <w:r w:rsidRPr="00C379C8" w:rsidR="00FE448B">
              <w:t xml:space="preserve"> Regulation (EU) No. 1169/2011 of the European Parliament and of the Council of 25 October 2011 on the provision of food information to consumers was adopted in Israel as part of the 10th Amendment to the Public Health Protection (Food), 5776 – 2015, and appears in Item 5 of Annex 2A. This regulation was applied in Israel from January 1, 2025 on a voluntary basis and will apply to all traders as of January 1, 2028.</w:t>
            </w:r>
          </w:p>
          <w:p w:rsidR="00FE448B" w:rsidRPr="00C379C8" w:rsidP="002F6A28" w14:paraId="662C61D4" w14:textId="77777777">
            <w:pPr>
              <w:spacing w:before="120" w:after="120"/>
            </w:pPr>
            <w:r w:rsidRPr="00C379C8">
              <w:t>Section 62(2) of the 10th Amendment establishes a temporary provision under which certain adopted labeling provisions will not apply to imported processed meat and fish products until July 31, 2026. This temporary provision is intended to allow examination and adjustment of the unique labeling arrangements applicable to these products and to ensure a gradual, regulated transition to the implementation of the new provisions. In this proposed Temporary Order, the entry into force is extended until November 1,</w:t>
            </w:r>
            <w:r w:rsidRPr="00C379C8">
              <w:t xml:space="preserve"> 2026.</w:t>
            </w:r>
          </w:p>
        </w:tc>
      </w:tr>
      <w:tr w14:paraId="7812B8E7" w14:textId="77777777" w:rsidTr="00DB13FE">
        <w:tblPrEx>
          <w:tblW w:w="5000" w:type="pct"/>
          <w:tblLayout w:type="fixed"/>
          <w:tblLook w:val="0000"/>
        </w:tblPrEx>
        <w:tc>
          <w:tcPr>
            <w:tcW w:w="607" w:type="dxa"/>
          </w:tcPr>
          <w:p w:rsidR="00F85C99" w:rsidRPr="002F6A28" w:rsidP="002F6A28" w14:paraId="76BC21AC" w14:textId="77777777">
            <w:pPr>
              <w:spacing w:before="120" w:after="120"/>
              <w:jc w:val="left"/>
              <w:rPr>
                <w:b/>
              </w:rPr>
            </w:pPr>
            <w:r w:rsidRPr="002F6A28">
              <w:rPr>
                <w:b/>
              </w:rPr>
              <w:t>7.</w:t>
            </w:r>
          </w:p>
        </w:tc>
        <w:tc>
          <w:tcPr>
            <w:tcW w:w="8373" w:type="dxa"/>
          </w:tcPr>
          <w:p w:rsidR="00F85C99" w:rsidRPr="002F6A28" w:rsidP="002F6A28" w14:paraId="2A64CCD4" w14:textId="77777777">
            <w:pPr>
              <w:spacing w:before="120" w:after="120"/>
              <w:rPr>
                <w:b/>
              </w:rPr>
            </w:pPr>
            <w:r w:rsidRPr="002F6A28">
              <w:rPr>
                <w:b/>
              </w:rPr>
              <w:t>Objective and rationale, including the nature of urgent problems where applicable:</w:t>
            </w:r>
            <w:r w:rsidRPr="00C379C8" w:rsidR="00EE3A11">
              <w:t xml:space="preserve"> Harmonization; Reducing trade barriers and facilitating trade; Cost saving and productivity enhancement</w:t>
            </w:r>
          </w:p>
        </w:tc>
      </w:tr>
      <w:tr w14:paraId="461014D7" w14:textId="77777777" w:rsidTr="00DB13FE">
        <w:tblPrEx>
          <w:tblW w:w="5000" w:type="pct"/>
          <w:tblLayout w:type="fixed"/>
          <w:tblLook w:val="0000"/>
        </w:tblPrEx>
        <w:tc>
          <w:tcPr>
            <w:tcW w:w="607" w:type="dxa"/>
          </w:tcPr>
          <w:p w:rsidR="00F85C99" w:rsidRPr="002F6A28" w:rsidP="009E75ED" w14:paraId="014C7899" w14:textId="77777777">
            <w:pPr>
              <w:spacing w:before="120" w:after="120"/>
              <w:jc w:val="left"/>
              <w:rPr>
                <w:b/>
              </w:rPr>
            </w:pPr>
            <w:r w:rsidRPr="002F6A28">
              <w:rPr>
                <w:b/>
              </w:rPr>
              <w:t>8.</w:t>
            </w:r>
          </w:p>
        </w:tc>
        <w:tc>
          <w:tcPr>
            <w:tcW w:w="8373" w:type="dxa"/>
          </w:tcPr>
          <w:p w:rsidR="000C3B6C" w:rsidRPr="00EC00D2" w:rsidP="007F13E8" w14:paraId="6DBB30AA" w14:textId="77777777">
            <w:pPr>
              <w:spacing w:before="120" w:after="120"/>
              <w:rPr>
                <w:bCs/>
              </w:rPr>
            </w:pPr>
            <w:r w:rsidRPr="002F6A28">
              <w:rPr>
                <w:b/>
              </w:rPr>
              <w:t>Relevant documents:</w:t>
            </w:r>
            <w:r w:rsidRPr="002F6A28" w:rsidR="00EE3A11">
              <w:t xml:space="preserve"> </w:t>
            </w:r>
          </w:p>
          <w:p w:rsidR="00EE3A11" w:rsidRPr="002F6A28" w:rsidP="007F13E8" w14:paraId="4146D49B" w14:textId="77777777">
            <w:pPr>
              <w:numPr>
                <w:ilvl w:val="0"/>
                <w:numId w:val="16"/>
              </w:numPr>
              <w:spacing w:before="120" w:after="120"/>
            </w:pPr>
            <w:hyperlink r:id="rId9" w:history="1">
              <w:r w:rsidRPr="002F6A28">
                <w:rPr>
                  <w:color w:val="0000FF"/>
                  <w:u w:val="single"/>
                </w:rPr>
                <w:t>Announcement of the opening of the change for public comments</w:t>
              </w:r>
            </w:hyperlink>
            <w:r w:rsidRPr="002F6A28" w:rsidR="007A39E5">
              <w:t>;</w:t>
            </w:r>
          </w:p>
          <w:p w:rsidR="00EE3A11" w:rsidRPr="002F6A28" w:rsidP="007F13E8" w14:paraId="5557246F" w14:textId="77777777">
            <w:pPr>
              <w:numPr>
                <w:ilvl w:val="0"/>
                <w:numId w:val="16"/>
              </w:numPr>
              <w:spacing w:before="120" w:after="120"/>
            </w:pPr>
            <w:hyperlink r:id="rId10" w:history="1">
              <w:r w:rsidRPr="002F6A28">
                <w:rPr>
                  <w:color w:val="0000FF"/>
                  <w:u w:val="single"/>
                </w:rPr>
                <w:t>Protection of Public Health Law (Food) 5776-2015</w:t>
              </w:r>
            </w:hyperlink>
            <w:r w:rsidRPr="002F6A28" w:rsidR="007A39E5">
              <w:t>;</w:t>
            </w:r>
          </w:p>
          <w:p w:rsidR="00EE3A11" w:rsidRPr="002F6A28" w:rsidP="007F13E8" w14:paraId="0B1DA645" w14:textId="77777777">
            <w:pPr>
              <w:numPr>
                <w:ilvl w:val="0"/>
                <w:numId w:val="16"/>
              </w:numPr>
              <w:spacing w:before="120" w:after="120"/>
            </w:pPr>
            <w:hyperlink r:id="rId11" w:history="1">
              <w:r w:rsidRPr="002F6A28">
                <w:rPr>
                  <w:color w:val="0000FF"/>
                  <w:u w:val="single"/>
                </w:rPr>
                <w:t>Regulation (EU) No. 1169/2011 of the European Parliament and of the Council of 25 October 2011 on the provision of food information to consumers</w:t>
              </w:r>
            </w:hyperlink>
            <w:r w:rsidRPr="002F6A28" w:rsidR="007A39E5">
              <w:t>.</w:t>
            </w:r>
          </w:p>
          <w:p w:rsidR="00EE3A11" w:rsidRPr="002F6A28" w:rsidP="007F13E8" w14:paraId="0B8066C8" w14:textId="77777777">
            <w:pPr>
              <w:spacing w:before="120" w:after="120"/>
              <w:rPr>
                <w:b/>
                <w:bCs/>
              </w:rPr>
            </w:pPr>
            <w:r w:rsidRPr="002F6A28">
              <w:rPr>
                <w:b/>
                <w:bCs/>
              </w:rPr>
              <w:t>Relevant notifications:</w:t>
            </w:r>
          </w:p>
          <w:p w:rsidR="00EE3A11" w:rsidRPr="002F6A28" w:rsidP="007F13E8" w14:paraId="57F3C598" w14:textId="77777777">
            <w:pPr>
              <w:numPr>
                <w:ilvl w:val="0"/>
                <w:numId w:val="17"/>
              </w:numPr>
              <w:spacing w:before="120" w:after="120"/>
            </w:pPr>
            <w:hyperlink r:id="rId12" w:history="1">
              <w:r w:rsidRPr="002F6A28">
                <w:rPr>
                  <w:color w:val="0000FF"/>
                  <w:u w:val="single"/>
                </w:rPr>
                <w:t>G/TBT/N/ISR/1332/Rev.1</w:t>
              </w:r>
            </w:hyperlink>
          </w:p>
          <w:p w:rsidR="00EE3A11" w:rsidRPr="002F6A28" w:rsidP="007F13E8" w14:paraId="3DF0483D" w14:textId="77777777">
            <w:pPr>
              <w:numPr>
                <w:ilvl w:val="0"/>
                <w:numId w:val="17"/>
              </w:numPr>
              <w:spacing w:before="120" w:after="120"/>
            </w:pPr>
            <w:hyperlink r:id="rId13" w:history="1">
              <w:r w:rsidRPr="002F6A28">
                <w:rPr>
                  <w:color w:val="0000FF"/>
                  <w:u w:val="single"/>
                </w:rPr>
                <w:t>G/TBT/N/ISR/1411</w:t>
              </w:r>
            </w:hyperlink>
          </w:p>
        </w:tc>
      </w:tr>
      <w:tr w14:paraId="24ECAD46" w14:textId="77777777" w:rsidTr="00DB13FE">
        <w:tblPrEx>
          <w:tblW w:w="5000" w:type="pct"/>
          <w:tblLayout w:type="fixed"/>
          <w:tblLook w:val="0000"/>
        </w:tblPrEx>
        <w:tc>
          <w:tcPr>
            <w:tcW w:w="607" w:type="dxa"/>
          </w:tcPr>
          <w:p w:rsidR="00EE3A11" w:rsidRPr="002F6A28" w:rsidP="002F6A28" w14:paraId="71FC5D49" w14:textId="77777777">
            <w:pPr>
              <w:spacing w:before="120" w:after="120"/>
              <w:jc w:val="left"/>
              <w:rPr>
                <w:b/>
              </w:rPr>
            </w:pPr>
            <w:r w:rsidRPr="002F6A28">
              <w:rPr>
                <w:b/>
              </w:rPr>
              <w:t>9.</w:t>
            </w:r>
          </w:p>
        </w:tc>
        <w:tc>
          <w:tcPr>
            <w:tcW w:w="8373" w:type="dxa"/>
          </w:tcPr>
          <w:p w:rsidR="00EE3A11" w:rsidRPr="002F6A28" w:rsidP="008953C4" w14:paraId="7993A9E9" w14:textId="77777777">
            <w:pPr>
              <w:spacing w:before="120" w:after="120"/>
            </w:pPr>
            <w:r w:rsidRPr="002F6A28">
              <w:rPr>
                <w:b/>
              </w:rPr>
              <w:t>Proposed date of adoption:</w:t>
            </w:r>
            <w:r w:rsidRPr="00C379C8">
              <w:t xml:space="preserve"> To be determined</w:t>
            </w:r>
          </w:p>
          <w:p w:rsidR="00EE3A11" w:rsidRPr="002F6A28" w:rsidP="008953C4" w14:paraId="30EA3B2B" w14:textId="77777777">
            <w:pPr>
              <w:spacing w:after="120"/>
            </w:pPr>
            <w:r w:rsidRPr="002F6A28">
              <w:rPr>
                <w:b/>
              </w:rPr>
              <w:t>Proposed date of entry into force:</w:t>
            </w:r>
            <w:r w:rsidRPr="00C379C8">
              <w:t xml:space="preserve"> To be determined</w:t>
            </w:r>
          </w:p>
        </w:tc>
      </w:tr>
      <w:tr w14:paraId="44B3EC6C" w14:textId="77777777" w:rsidTr="00DB13FE">
        <w:tblPrEx>
          <w:tblW w:w="5000" w:type="pct"/>
          <w:tblLayout w:type="fixed"/>
          <w:tblLook w:val="0000"/>
        </w:tblPrEx>
        <w:tc>
          <w:tcPr>
            <w:tcW w:w="607" w:type="dxa"/>
            <w:tcBorders>
              <w:bottom w:val="double" w:sz="4" w:space="0" w:color="auto"/>
            </w:tcBorders>
          </w:tcPr>
          <w:p w:rsidR="00F85C99" w:rsidRPr="002F6A28" w:rsidP="002F6A28" w14:paraId="26C0294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FD44C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343EC37" w14:textId="77777777">
            <w:pPr>
              <w:spacing w:before="120" w:after="120"/>
              <w:rPr>
                <w:bCs/>
              </w:rPr>
            </w:pPr>
            <w:r w:rsidRPr="002F6A28">
              <w:rPr>
                <w:b/>
              </w:rPr>
              <w:t>Final date for comments:</w:t>
            </w:r>
            <w:r w:rsidRPr="00C379C8" w:rsidR="00EE3A11">
              <w:t xml:space="preserve"> 2 October 2026</w:t>
            </w:r>
          </w:p>
          <w:p w:rsidR="000C3B6C" w:rsidRPr="00E3324D" w:rsidP="000C3B6C" w14:paraId="0FC9F21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1593CC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7DE274" w14:textId="77777777">
            <w:r w:rsidRPr="00CE6C29">
              <w:t>Israel's WTO-TBT Enquiry Point</w:t>
            </w:r>
          </w:p>
          <w:p w:rsidR="00CE6C29" w:rsidRPr="00CE6C29" w:rsidP="000C3B6C" w14:paraId="63656A82" w14:textId="77777777">
            <w:pPr>
              <w:spacing w:after="120"/>
            </w:pPr>
            <w:r w:rsidRPr="00CE6C29">
              <w:t xml:space="preserve">Email: </w:t>
            </w:r>
            <w:hyperlink r:id="rId6" w:history="1">
              <w:r w:rsidRPr="00CE6C29">
                <w:rPr>
                  <w:color w:val="0000FF"/>
                  <w:u w:val="single"/>
                </w:rPr>
                <w:t>Yael.Friedgut@Service.economy.gov.il</w:t>
              </w:r>
            </w:hyperlink>
          </w:p>
        </w:tc>
      </w:tr>
    </w:tbl>
    <w:p w:rsidR="00EE3A11" w:rsidRPr="002F6A28" w:rsidP="00887259" w14:paraId="4581B3FD"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BC19F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29F58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4B7AF5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80DBE9" w14:textId="77777777">
    <w:pPr>
      <w:pStyle w:val="Header"/>
      <w:pBdr>
        <w:bottom w:val="single" w:sz="4" w:space="1" w:color="auto"/>
      </w:pBdr>
      <w:tabs>
        <w:tab w:val="clear" w:pos="4513"/>
        <w:tab w:val="clear" w:pos="9027"/>
      </w:tabs>
      <w:jc w:val="center"/>
    </w:pPr>
    <w:r w:rsidRPr="002F6A28">
      <w:t>tbtSymbol</w:t>
    </w:r>
  </w:p>
  <w:p w:rsidR="009239F7" w:rsidRPr="002F6A28" w:rsidP="009239F7" w14:paraId="3D81799F" w14:textId="77777777">
    <w:pPr>
      <w:pStyle w:val="Header"/>
      <w:pBdr>
        <w:bottom w:val="single" w:sz="4" w:space="1" w:color="auto"/>
      </w:pBdr>
      <w:tabs>
        <w:tab w:val="clear" w:pos="4513"/>
        <w:tab w:val="clear" w:pos="9027"/>
      </w:tabs>
      <w:jc w:val="center"/>
    </w:pPr>
  </w:p>
  <w:p w:rsidR="009239F7" w:rsidRPr="002F6A28" w:rsidP="009239F7" w14:paraId="2B23ABE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862F9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CC91C0" w14:textId="77777777">
    <w:pPr>
      <w:pStyle w:val="Header"/>
      <w:pBdr>
        <w:bottom w:val="single" w:sz="4" w:space="1" w:color="auto"/>
      </w:pBdr>
      <w:tabs>
        <w:tab w:val="clear" w:pos="4513"/>
        <w:tab w:val="clear" w:pos="9027"/>
      </w:tabs>
      <w:jc w:val="center"/>
    </w:pPr>
    <w:bookmarkStart w:id="0" w:name="spsSymbolHeader"/>
    <w:r w:rsidRPr="002F6A28">
      <w:t>G/TBT/N/ISR/1412</w:t>
    </w:r>
    <w:bookmarkEnd w:id="0"/>
  </w:p>
  <w:p w:rsidR="009239F7" w:rsidRPr="002F6A28" w:rsidP="009239F7" w14:paraId="7500562D" w14:textId="77777777">
    <w:pPr>
      <w:pStyle w:val="Header"/>
      <w:pBdr>
        <w:bottom w:val="single" w:sz="4" w:space="1" w:color="auto"/>
      </w:pBdr>
      <w:tabs>
        <w:tab w:val="clear" w:pos="4513"/>
        <w:tab w:val="clear" w:pos="9027"/>
      </w:tabs>
      <w:jc w:val="center"/>
    </w:pPr>
  </w:p>
  <w:p w:rsidR="009239F7" w:rsidRPr="002F6A28" w:rsidP="009239F7" w14:paraId="28F6FD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67A1C9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784562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F5BDD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7FF91B" w14:textId="77777777">
          <w:pPr>
            <w:jc w:val="right"/>
            <w:rPr>
              <w:b/>
              <w:color w:val="FF0000"/>
              <w:szCs w:val="16"/>
            </w:rPr>
          </w:pPr>
        </w:p>
      </w:tc>
    </w:tr>
    <w:bookmarkEnd w:id="1"/>
    <w:tr w14:paraId="2B83E4A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E9EBB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0575C5" w14:textId="77777777">
          <w:pPr>
            <w:jc w:val="right"/>
            <w:rPr>
              <w:b/>
              <w:szCs w:val="16"/>
            </w:rPr>
          </w:pPr>
        </w:p>
      </w:tc>
    </w:tr>
    <w:tr w14:paraId="48C7B95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DE8A01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521A4C" w14:textId="77777777">
          <w:pPr>
            <w:jc w:val="right"/>
            <w:rPr>
              <w:b/>
              <w:szCs w:val="16"/>
            </w:rPr>
          </w:pPr>
          <w:bookmarkStart w:id="2" w:name="bmkSymbols"/>
          <w:r w:rsidRPr="002F6A28">
            <w:rPr>
              <w:b/>
              <w:szCs w:val="16"/>
            </w:rPr>
            <w:t>G/TBT/N/ISR/1412</w:t>
          </w:r>
          <w:bookmarkEnd w:id="2"/>
        </w:p>
      </w:tc>
    </w:tr>
    <w:tr w14:paraId="7647DB9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1E0F61" w14:textId="77777777"/>
      </w:tc>
      <w:tc>
        <w:tcPr>
          <w:tcW w:w="5448" w:type="dxa"/>
          <w:gridSpan w:val="2"/>
          <w:shd w:val="clear" w:color="auto" w:fill="FFFFFF"/>
          <w:tcMar>
            <w:left w:w="108" w:type="dxa"/>
            <w:right w:w="108" w:type="dxa"/>
          </w:tcMar>
          <w:vAlign w:val="center"/>
        </w:tcPr>
        <w:p w:rsidR="00ED54E0" w:rsidRPr="009239F7" w:rsidP="00B801E9" w14:paraId="6940CEBB" w14:textId="77777777">
          <w:pPr>
            <w:jc w:val="right"/>
            <w:rPr>
              <w:szCs w:val="16"/>
            </w:rPr>
          </w:pPr>
          <w:bookmarkStart w:id="3" w:name="spsDateDistribution"/>
          <w:bookmarkStart w:id="4" w:name="bmkDate"/>
          <w:r w:rsidRPr="009239F7">
            <w:rPr>
              <w:szCs w:val="16"/>
            </w:rPr>
            <w:t>3 August 2026</w:t>
          </w:r>
          <w:bookmarkEnd w:id="3"/>
          <w:bookmarkEnd w:id="4"/>
        </w:p>
      </w:tc>
    </w:tr>
    <w:tr w14:paraId="47558EB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C0DD4B" w14:textId="77777777">
          <w:pPr>
            <w:jc w:val="left"/>
            <w:rPr>
              <w:b/>
            </w:rPr>
          </w:pPr>
          <w:bookmarkStart w:id="5" w:name="bmkSerial"/>
          <w:r>
            <w:rPr>
              <w:rFonts w:ascii="Verdana" w:eastAsia="Verdana" w:hAnsi="Verdana" w:cs="Verdana"/>
              <w:b w:val="0"/>
              <w:color w:val="FF0000"/>
              <w:sz w:val="18"/>
            </w:rPr>
            <w:t>(26-5542)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F6563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6F28DF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51A29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ED6F14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23C91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33023583">
    <w:abstractNumId w:val="9"/>
  </w:num>
  <w:num w:numId="2" w16cid:durableId="1234851410">
    <w:abstractNumId w:val="7"/>
  </w:num>
  <w:num w:numId="3" w16cid:durableId="78216571">
    <w:abstractNumId w:val="6"/>
  </w:num>
  <w:num w:numId="4" w16cid:durableId="445008262">
    <w:abstractNumId w:val="5"/>
  </w:num>
  <w:num w:numId="5" w16cid:durableId="49962837">
    <w:abstractNumId w:val="4"/>
  </w:num>
  <w:num w:numId="6" w16cid:durableId="573013000">
    <w:abstractNumId w:val="12"/>
  </w:num>
  <w:num w:numId="7" w16cid:durableId="1469393797">
    <w:abstractNumId w:val="11"/>
  </w:num>
  <w:num w:numId="8" w16cid:durableId="1367295429">
    <w:abstractNumId w:val="10"/>
  </w:num>
  <w:num w:numId="9" w16cid:durableId="1128430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7608821">
    <w:abstractNumId w:val="13"/>
  </w:num>
  <w:num w:numId="11" w16cid:durableId="1263301697">
    <w:abstractNumId w:val="8"/>
  </w:num>
  <w:num w:numId="12" w16cid:durableId="1965652081">
    <w:abstractNumId w:val="3"/>
  </w:num>
  <w:num w:numId="13" w16cid:durableId="1688480266">
    <w:abstractNumId w:val="2"/>
  </w:num>
  <w:num w:numId="14" w16cid:durableId="297609247">
    <w:abstractNumId w:val="1"/>
  </w:num>
  <w:num w:numId="15" w16cid:durableId="114101536">
    <w:abstractNumId w:val="0"/>
  </w:num>
  <w:num w:numId="16" w16cid:durableId="1223638485">
    <w:abstractNumId w:val="14"/>
  </w:num>
  <w:num w:numId="17" w16cid:durableId="3387017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ABE"/>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3396"/>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39E5"/>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268B5"/>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2EB2D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evo.co.il/law_word/law01/049_062.doc" TargetMode="External" /><Relationship Id="rId11" Type="http://schemas.openxmlformats.org/officeDocument/2006/relationships/hyperlink" Target="https://eur-lex.europa.eu/legal-content/EN/TXT/?uri=CELEX%3A02011R1169-20250401" TargetMode="External" /><Relationship Id="rId12" Type="http://schemas.openxmlformats.org/officeDocument/2006/relationships/hyperlink" Target="https://eping.wto.org/en/Search/Index?viewData=G/TBT/N/ISR/1332/Rev.1" TargetMode="External" /><Relationship Id="rId13" Type="http://schemas.openxmlformats.org/officeDocument/2006/relationships/hyperlink" Target="https://eping.wto.org/en/Search/Index?viewData=G/TBT/N/ISR/1411"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members.wto.org/crnattachments/2026/TBT/ISR/26_04055_00_x.pdf" TargetMode="External" /><Relationship Id="rId8" Type="http://schemas.openxmlformats.org/officeDocument/2006/relationships/hyperlink" Target="mailto:matan.shiner@moh.gov.il" TargetMode="External" /><Relationship Id="rId9" Type="http://schemas.openxmlformats.org/officeDocument/2006/relationships/hyperlink" Target="https://tazkirim.gov.il/s/legislativeworkactivity/a13Qu00000Of1SBIAZ/%D7%94%D7%A4%D7%A6%D7%94-%D7%9C%D7%94%D7%A2%D7%A8%D7%95%D7%AA-%D7%A6%D7%99%D7%91%D7%95%D7%A8?language=i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37B739A-C7A0-41C7-BD29-22B1FBE7CD0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2026-08-03T13:36:00Z</dcterms:created>
  <dcterms:modified xsi:type="dcterms:W3CDTF">2026-08-03T13:36:00Z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