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D7892B2" w14:textId="77777777">
      <w:pPr>
        <w:pStyle w:val="Title"/>
      </w:pPr>
      <w:r w:rsidRPr="002F663C">
        <w:t>NOTIFICATION</w:t>
      </w:r>
    </w:p>
    <w:p w:rsidR="002F663C" w:rsidRPr="002F663C" w:rsidP="00DD3DD7" w14:paraId="25A0A659" w14:textId="77777777">
      <w:pPr>
        <w:pStyle w:val="Title3"/>
      </w:pPr>
      <w:r w:rsidRPr="002F663C">
        <w:t>Addendum</w:t>
      </w:r>
    </w:p>
    <w:p w:rsidR="002F663C" w:rsidP="001E2E4A" w14:paraId="1F1A60E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31 July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52034239" w14:textId="77777777">
      <w:pPr>
        <w:rPr>
          <w:rFonts w:eastAsia="Calibri" w:cs="Times New Roman"/>
        </w:rPr>
      </w:pPr>
    </w:p>
    <w:p w:rsidR="002F663C" w:rsidRPr="002F663C" w:rsidP="002F663C" w14:paraId="62105E2B" w14:textId="77777777">
      <w:pPr>
        <w:jc w:val="center"/>
        <w:rPr>
          <w:rFonts w:eastAsia="Calibri" w:cs="Times New Roman"/>
          <w:b/>
        </w:rPr>
      </w:pPr>
      <w:r w:rsidRPr="002F663C">
        <w:rPr>
          <w:rFonts w:eastAsia="Calibri" w:cs="Times New Roman"/>
          <w:b/>
        </w:rPr>
        <w:t>_______________</w:t>
      </w:r>
    </w:p>
    <w:p w:rsidR="002F663C" w:rsidP="002F663C" w14:paraId="28F9932E" w14:textId="77777777">
      <w:pPr>
        <w:rPr>
          <w:rFonts w:eastAsia="Calibri" w:cs="Times New Roman"/>
        </w:rPr>
      </w:pPr>
    </w:p>
    <w:p w:rsidR="00C14444" w:rsidRPr="002F663C" w:rsidP="002F663C" w14:paraId="09901359" w14:textId="77777777">
      <w:pPr>
        <w:rPr>
          <w:rFonts w:eastAsia="Calibri" w:cs="Times New Roman"/>
        </w:rPr>
      </w:pPr>
    </w:p>
    <w:p w:rsidR="002F663C" w:rsidRPr="002F663C" w:rsidP="002F663C" w14:paraId="7742E35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Upper C-Band (3.98-4.2 GHz); Expanding Flexible Use of the 3.7 to 4.2 GHz Band</w:t>
      </w:r>
    </w:p>
    <w:p w:rsidR="002F663C" w:rsidRPr="002F663C" w:rsidP="002F663C" w14:paraId="5C179E2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39802E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11AFE3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73A4F65" w14:textId="77777777" w:rsidTr="00E9471B">
        <w:tblPrEx>
          <w:tblW w:w="9049" w:type="dxa"/>
          <w:tblLayout w:type="fixed"/>
          <w:tblLook w:val="04A0"/>
        </w:tblPrEx>
        <w:tc>
          <w:tcPr>
            <w:tcW w:w="851" w:type="dxa"/>
          </w:tcPr>
          <w:p w:rsidR="002F663C" w:rsidRPr="00711F9C" w:rsidP="00C14444" w14:paraId="09B3960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9907DE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3816606" w14:textId="77777777" w:rsidTr="00E9471B">
        <w:tblPrEx>
          <w:tblW w:w="9049" w:type="dxa"/>
          <w:tblLayout w:type="fixed"/>
          <w:tblLook w:val="04A0"/>
        </w:tblPrEx>
        <w:tc>
          <w:tcPr>
            <w:tcW w:w="851" w:type="dxa"/>
          </w:tcPr>
          <w:p w:rsidR="002F663C" w:rsidRPr="00711F9C" w:rsidP="00C14444" w14:paraId="2304BF0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821CB5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ABA6F8C" w14:textId="77777777" w:rsidTr="00E9471B">
        <w:tblPrEx>
          <w:tblW w:w="9049" w:type="dxa"/>
          <w:tblLayout w:type="fixed"/>
          <w:tblLook w:val="04A0"/>
        </w:tblPrEx>
        <w:tc>
          <w:tcPr>
            <w:tcW w:w="851" w:type="dxa"/>
          </w:tcPr>
          <w:p w:rsidR="002F663C" w:rsidRPr="00711F9C" w:rsidP="00C14444" w14:paraId="6633C33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AD57A1C"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31 July 2026</w:t>
            </w:r>
          </w:p>
        </w:tc>
      </w:tr>
      <w:tr w14:paraId="07C42300" w14:textId="77777777" w:rsidTr="00E9471B">
        <w:tblPrEx>
          <w:tblW w:w="9049" w:type="dxa"/>
          <w:tblLayout w:type="fixed"/>
          <w:tblLook w:val="04A0"/>
        </w:tblPrEx>
        <w:tc>
          <w:tcPr>
            <w:tcW w:w="851" w:type="dxa"/>
          </w:tcPr>
          <w:p w:rsidR="002F663C" w:rsidRPr="00711F9C" w:rsidP="00C14444" w14:paraId="7D560C9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92D3E8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29 September 2026</w:t>
            </w:r>
          </w:p>
        </w:tc>
      </w:tr>
      <w:tr w14:paraId="189725EE" w14:textId="77777777" w:rsidTr="00E9471B">
        <w:tblPrEx>
          <w:tblW w:w="9049" w:type="dxa"/>
          <w:tblLayout w:type="fixed"/>
          <w:tblLook w:val="04A0"/>
        </w:tblPrEx>
        <w:tc>
          <w:tcPr>
            <w:tcW w:w="851" w:type="dxa"/>
          </w:tcPr>
          <w:p w:rsidR="002F663C" w:rsidRPr="00711F9C" w:rsidP="00C14444" w14:paraId="0A7F70B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613314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9558D97"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https://members.wto.org/crnattachments/2026/TBT/USA/final_measure/26_04036_00_e.pdf</w:t>
              </w:r>
            </w:hyperlink>
          </w:p>
          <w:p w:rsidR="002F663C" w:rsidRPr="002F663C" w:rsidP="00EB7B40" w14:paraId="2225A0D1"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https://members.wto.org/crnattachments/2026/TBT/USA/final_measure/26_04036_01_e.pdf</w:t>
              </w:r>
            </w:hyperlink>
          </w:p>
        </w:tc>
      </w:tr>
      <w:tr w14:paraId="3A8C2C5F" w14:textId="77777777" w:rsidTr="00E9471B">
        <w:tblPrEx>
          <w:tblW w:w="9049" w:type="dxa"/>
          <w:tblLayout w:type="fixed"/>
          <w:tblLook w:val="04A0"/>
        </w:tblPrEx>
        <w:tc>
          <w:tcPr>
            <w:tcW w:w="851" w:type="dxa"/>
          </w:tcPr>
          <w:p w:rsidR="002F663C" w:rsidRPr="00711F9C" w:rsidP="00C14444" w14:paraId="7996D12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9E3DAF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554A00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1017ACA" w14:textId="77777777" w:rsidTr="00E9471B">
        <w:tblPrEx>
          <w:tblW w:w="9049" w:type="dxa"/>
          <w:tblLayout w:type="fixed"/>
          <w:tblLook w:val="04A0"/>
        </w:tblPrEx>
        <w:tc>
          <w:tcPr>
            <w:tcW w:w="851" w:type="dxa"/>
          </w:tcPr>
          <w:p w:rsidR="002F663C" w:rsidRPr="00711F9C" w:rsidP="00C14444" w14:paraId="2E8F0DB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10DA06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2CEC25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8706975" w14:textId="77777777" w:rsidTr="00E9471B">
        <w:tblPrEx>
          <w:tblW w:w="9049" w:type="dxa"/>
          <w:tblLayout w:type="fixed"/>
          <w:tblLook w:val="04A0"/>
        </w:tblPrEx>
        <w:tc>
          <w:tcPr>
            <w:tcW w:w="851" w:type="dxa"/>
          </w:tcPr>
          <w:p w:rsidR="002F663C" w:rsidRPr="00711F9C" w:rsidP="00C14444" w14:paraId="00D0574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3B1D62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D177E6B" w14:textId="77777777" w:rsidTr="00E9471B">
        <w:tblPrEx>
          <w:tblW w:w="9049" w:type="dxa"/>
          <w:tblLayout w:type="fixed"/>
          <w:tblLook w:val="04A0"/>
        </w:tblPrEx>
        <w:tc>
          <w:tcPr>
            <w:tcW w:w="851" w:type="dxa"/>
            <w:tcBorders>
              <w:bottom w:val="double" w:sz="4" w:space="0" w:color="auto"/>
            </w:tcBorders>
          </w:tcPr>
          <w:p w:rsidR="002F663C" w:rsidRPr="00711F9C" w:rsidP="00C14444" w14:paraId="3B8A9F0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00363C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959A064" w14:textId="77777777">
      <w:pPr>
        <w:jc w:val="left"/>
        <w:rPr>
          <w:rFonts w:eastAsia="Calibri" w:cs="Times New Roman"/>
          <w:highlight w:val="yellow"/>
        </w:rPr>
      </w:pPr>
    </w:p>
    <w:p w:rsidR="003971FF" w:rsidRPr="007F6EA2" w:rsidP="00B16ACF" w14:paraId="7E6B0E2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this document, the Federal Communications Commission (Commission) adopted a Report and Order, Order of Proposed Modification, and Order on Reconsideration (Order), that expands the ecosystem for next-generation wireless services in the 3.7-4.2 GHz band (C-band) by making 160 megahertz of the 3.98-4.2 GHz band (Upper C- band) available for terrestrial wireless flexible use. This action is pursuant to Congress' direction in the One Big Beautiful Bill Act to complete a system of competitive bidding by 4 Jul</w:t>
      </w:r>
      <w:r w:rsidRPr="002F663C">
        <w:rPr>
          <w:rFonts w:eastAsia="Calibri" w:cs="Times New Roman"/>
          <w:szCs w:val="18"/>
        </w:rPr>
        <w:t>y 2027, for at least 100 megahertz of spectrum in the 3.98-4.2 GHz band. The Order creates a single 3.7 GHz Service that spans 3.7-4.14 GHz and adopts competitive bidding procedures for an auction. The Order largely applies the current Lower C-band licensing and operating rules to the Upper C-band, but it imposes more forward-leaning performance requirements. The Commission also generally adopts the Lower C-band technical rules for the Upper C-band, with certain modifications designed to reinforce a success</w:t>
      </w:r>
      <w:r w:rsidRPr="002F663C">
        <w:rPr>
          <w:rFonts w:eastAsia="Calibri" w:cs="Times New Roman"/>
          <w:szCs w:val="18"/>
        </w:rPr>
        <w:t xml:space="preserve">ful coexistence environment with </w:t>
      </w:r>
      <w:r w:rsidRPr="002F663C">
        <w:rPr>
          <w:rFonts w:eastAsia="Calibri" w:cs="Times New Roman"/>
          <w:szCs w:val="18"/>
        </w:rPr>
        <w:t>adjacent band radio altimeters. The Order requires new licensees in the Upper C-band, as a condition of their licenses, to reimburse defined incumbent Fixed Satellite Service (FSS) licensees for reasonable and necessary costs associated with migrating FSS operations out of the reconfigured portion of the Upper C-band, consistent with the Commission's Emerging Technologies precedent. The Order also provides incentives to eligible space station operators that meet their cleari</w:t>
      </w:r>
      <w:r w:rsidRPr="002F663C">
        <w:rPr>
          <w:rFonts w:eastAsia="Calibri" w:cs="Times New Roman"/>
          <w:szCs w:val="18"/>
        </w:rPr>
        <w:t>ng obligations by specified transition deadlines. Finally, new Upper C-band licensees must provide rebates for defined classes of eligible aircraft owners and operators to facilitate compliance with the FAA's radio altimeter retrofit requirements, which are designed to promote successful coexistence between Upper C-band licensees and radio altimeters in the 4.2-4.4 GHz band.</w:t>
      </w:r>
    </w:p>
    <w:p w:rsidR="00B14F60" w:rsidRPr="002F663C" w:rsidP="00B16ACF" w14:paraId="6C0A77FB" w14:textId="77777777">
      <w:pPr>
        <w:spacing w:before="120" w:after="120"/>
        <w:rPr>
          <w:rFonts w:eastAsia="Calibri" w:cs="Times New Roman"/>
          <w:szCs w:val="18"/>
        </w:rPr>
      </w:pPr>
      <w:r w:rsidRPr="002F663C">
        <w:rPr>
          <w:rFonts w:eastAsia="Calibri" w:cs="Times New Roman"/>
          <w:szCs w:val="18"/>
        </w:rPr>
        <w:t>The rules are effective 29 September 2026, except for instruction 7 (Sec. Sec. 25.138(a) and (b)); instruction 8 (Sec. 25.147); instruction 17 Sec. (27.14(x)(3)); instruction 26 (Sec. 27.1412(b), (c), (e), and (g); instruction 28 (Sec. 27.1413(a)(3), (c)(1), (c)(9), (e) and (f)); instruction 30 (Sec. 27.1414(e)); instruction 31 (Sec. 27.1415); instruction 32 (Sec. 27.1416); instruction 33 (Sec. 27.1417); instruction 35 (Sec. 27.1419); instruction 37 (Sec. 27.1421); instruction 39 (Sec. 27.1422(c)); and inst</w:t>
      </w:r>
      <w:r w:rsidRPr="002F663C">
        <w:rPr>
          <w:rFonts w:eastAsia="Calibri" w:cs="Times New Roman"/>
          <w:szCs w:val="18"/>
        </w:rPr>
        <w:t>ruction 41 Sec. 27.1424 of the Commission's rules, which contain new or modified information collection requirements that require review by the Office of Management and Budget (OMB) under the Paperwork Reduction Act and will not become effective until the effective date for those information collections is announced in a document published in the Federal Register after the Commission receives OMB approval. The Federal Communications Commission will publish a document in the Federal Register announcing the e</w:t>
      </w:r>
      <w:r w:rsidRPr="002F663C">
        <w:rPr>
          <w:rFonts w:eastAsia="Calibri" w:cs="Times New Roman"/>
          <w:szCs w:val="18"/>
        </w:rPr>
        <w:t>ffective date of these rule sections.</w:t>
      </w:r>
    </w:p>
    <w:p w:rsidR="00B14F60" w:rsidRPr="002F663C" w:rsidP="00B16ACF" w14:paraId="68A9D097" w14:textId="77777777">
      <w:pPr>
        <w:spacing w:before="120" w:after="120"/>
        <w:rPr>
          <w:rFonts w:eastAsia="Calibri" w:cs="Times New Roman"/>
          <w:szCs w:val="18"/>
        </w:rPr>
      </w:pPr>
      <w:r w:rsidRPr="002F663C">
        <w:rPr>
          <w:rFonts w:eastAsia="Calibri" w:cs="Times New Roman"/>
          <w:szCs w:val="18"/>
        </w:rPr>
        <w:t xml:space="preserve">91 Federal Register (FR) 48700, 31 July 2026; </w:t>
      </w:r>
      <w:hyperlink r:id="rId9" w:history="1">
        <w:r w:rsidRPr="002F663C">
          <w:rPr>
            <w:rFonts w:eastAsia="Calibri" w:cs="Times New Roman"/>
            <w:color w:val="0000FF"/>
            <w:szCs w:val="18"/>
            <w:u w:val="single"/>
          </w:rPr>
          <w:t>Title 47</w:t>
        </w:r>
      </w:hyperlink>
      <w:r w:rsidRPr="002F663C">
        <w:rPr>
          <w:rFonts w:eastAsia="Calibri" w:cs="Times New Roman"/>
          <w:szCs w:val="18"/>
        </w:rPr>
        <w:t xml:space="preserve"> Code of Federal Regulations (CFR) Parts </w:t>
      </w:r>
      <w:hyperlink r:id="rId10" w:history="1">
        <w:r w:rsidRPr="002F663C">
          <w:rPr>
            <w:rFonts w:eastAsia="Calibri" w:cs="Times New Roman"/>
            <w:color w:val="0000FF"/>
            <w:szCs w:val="18"/>
            <w:u w:val="single"/>
          </w:rPr>
          <w:t>1</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25</w:t>
        </w:r>
      </w:hyperlink>
      <w:r w:rsidRPr="002F663C">
        <w:rPr>
          <w:rFonts w:eastAsia="Calibri" w:cs="Times New Roman"/>
          <w:szCs w:val="18"/>
        </w:rPr>
        <w:t xml:space="preserve">, and </w:t>
      </w:r>
      <w:hyperlink r:id="rId12" w:history="1">
        <w:r w:rsidRPr="002F663C">
          <w:rPr>
            <w:rFonts w:eastAsia="Calibri" w:cs="Times New Roman"/>
            <w:color w:val="0000FF"/>
            <w:szCs w:val="18"/>
            <w:u w:val="single"/>
          </w:rPr>
          <w:t>27</w:t>
        </w:r>
      </w:hyperlink>
      <w:r w:rsidRPr="002F663C">
        <w:rPr>
          <w:rFonts w:eastAsia="Calibri" w:cs="Times New Roman"/>
          <w:szCs w:val="18"/>
        </w:rPr>
        <w:t>:</w:t>
      </w:r>
    </w:p>
    <w:p w:rsidR="00B14F60" w:rsidRPr="002F663C" w:rsidP="00B16ACF" w14:paraId="55B42D29"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https://www.govinfo.gov/content/pkg/FR-2026-07-31/html/2026-15598.htm</w:t>
        </w:r>
      </w:hyperlink>
    </w:p>
    <w:p w:rsidR="00B14F60" w:rsidRPr="002F663C" w:rsidP="00B16ACF" w14:paraId="7C3564D8"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https://www.govinfo.gov/content/pkg/FR-2026-07-31/pdf/2026-15598.pdf</w:t>
        </w:r>
      </w:hyperlink>
    </w:p>
    <w:p w:rsidR="00B14F60" w:rsidRPr="002F663C" w:rsidP="00B16ACF" w14:paraId="276AA257"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https://docs.fcc.gov/public/attachments/FCC-26-46A1.pdf</w:t>
        </w:r>
      </w:hyperlink>
    </w:p>
    <w:p w:rsidR="00B14F60" w:rsidRPr="002F663C" w:rsidP="00B16ACF" w14:paraId="40E29E6D" w14:textId="77777777">
      <w:pPr>
        <w:spacing w:before="120" w:after="120"/>
        <w:rPr>
          <w:rFonts w:eastAsia="Calibri" w:cs="Times New Roman"/>
          <w:szCs w:val="18"/>
        </w:rPr>
      </w:pPr>
      <w:r w:rsidRPr="002F663C">
        <w:rPr>
          <w:rFonts w:eastAsia="Calibri" w:cs="Times New Roman"/>
          <w:szCs w:val="18"/>
        </w:rPr>
        <w:t xml:space="preserve">This final rule is identified by GN Docket Nos. </w:t>
      </w:r>
      <w:hyperlink r:id="rId16" w:history="1">
        <w:r w:rsidRPr="002F663C">
          <w:rPr>
            <w:rFonts w:eastAsia="Calibri" w:cs="Times New Roman"/>
            <w:color w:val="0000FF"/>
            <w:szCs w:val="18"/>
            <w:u w:val="single"/>
          </w:rPr>
          <w:t>18-122</w:t>
        </w:r>
      </w:hyperlink>
      <w:r w:rsidRPr="002F663C">
        <w:rPr>
          <w:rFonts w:eastAsia="Calibri" w:cs="Times New Roman"/>
          <w:szCs w:val="18"/>
        </w:rPr>
        <w:t xml:space="preserve"> and </w:t>
      </w:r>
      <w:hyperlink r:id="rId17" w:history="1">
        <w:r w:rsidRPr="002F663C">
          <w:rPr>
            <w:rFonts w:eastAsia="Calibri" w:cs="Times New Roman"/>
            <w:color w:val="0000FF"/>
            <w:szCs w:val="18"/>
            <w:u w:val="single"/>
          </w:rPr>
          <w:t>25-59</w:t>
        </w:r>
      </w:hyperlink>
      <w:r w:rsidRPr="002F663C">
        <w:rPr>
          <w:rFonts w:eastAsia="Calibri" w:cs="Times New Roman"/>
          <w:szCs w:val="18"/>
        </w:rPr>
        <w:t xml:space="preserve">; </w:t>
      </w:r>
      <w:hyperlink r:id="rId18" w:history="1">
        <w:r w:rsidRPr="002F663C">
          <w:rPr>
            <w:rFonts w:eastAsia="Calibri" w:cs="Times New Roman"/>
            <w:color w:val="0000FF"/>
            <w:szCs w:val="18"/>
            <w:u w:val="single"/>
          </w:rPr>
          <w:t>FCC 26-46</w:t>
        </w:r>
      </w:hyperlink>
      <w:r w:rsidRPr="002F663C">
        <w:rPr>
          <w:rFonts w:eastAsia="Calibri" w:cs="Times New Roman"/>
          <w:szCs w:val="18"/>
        </w:rPr>
        <w:t xml:space="preserve">. The Docket Folders provide access to associated documents as well as comments received (if any). Documents are also accessible from the FCC's </w:t>
      </w:r>
      <w:hyperlink r:id="rId19" w:history="1">
        <w:r w:rsidRPr="002F663C">
          <w:rPr>
            <w:rFonts w:eastAsia="Calibri" w:cs="Times New Roman"/>
            <w:color w:val="0000FF"/>
            <w:szCs w:val="18"/>
            <w:u w:val="single"/>
          </w:rPr>
          <w:t>Electronic Document Management System (EDOCS)</w:t>
        </w:r>
      </w:hyperlink>
      <w:r w:rsidRPr="002F663C">
        <w:rPr>
          <w:rFonts w:eastAsia="Calibri" w:cs="Times New Roman"/>
          <w:szCs w:val="18"/>
        </w:rPr>
        <w:t xml:space="preserve"> by searching the GN Docket Numbers.</w:t>
      </w:r>
    </w:p>
    <w:p w:rsidR="006C5A96" w:rsidP="006C5A96" w14:paraId="50E485A0" w14:textId="77777777">
      <w:pPr>
        <w:jc w:val="center"/>
        <w:rPr>
          <w:b/>
        </w:rPr>
      </w:pPr>
      <w:r w:rsidRPr="003971FF">
        <w:rPr>
          <w:b/>
        </w:rPr>
        <w:t>__________</w:t>
      </w:r>
    </w:p>
    <w:p w:rsidR="004D4D19" w:rsidP="007F38C2" w14:paraId="69E736A5" w14:textId="77777777">
      <w:pPr>
        <w:jc w:val="center"/>
        <w:rPr>
          <w:b/>
        </w:rPr>
      </w:pPr>
    </w:p>
    <w:p w:rsidR="00A1565D" w:rsidP="003971FF" w14:paraId="66284AE1"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A03579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48376F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A6723" w:rsidP="00ED54E0" w14:paraId="6E9DBF9A" w14:textId="77777777">
      <w:r>
        <w:separator/>
      </w:r>
    </w:p>
  </w:footnote>
  <w:footnote w:type="continuationSeparator" w:id="1">
    <w:p w:rsidR="00DA6723" w:rsidP="00ED54E0" w14:paraId="23B31697" w14:textId="77777777">
      <w:r>
        <w:continuationSeparator/>
      </w:r>
    </w:p>
  </w:footnote>
  <w:footnote w:id="2">
    <w:p w:rsidR="007F6EA2" w14:paraId="2DB9641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E1E8CB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50A06DB" w14:textId="77777777">
    <w:pPr>
      <w:pStyle w:val="Header"/>
      <w:pBdr>
        <w:bottom w:val="single" w:sz="4" w:space="1" w:color="auto"/>
      </w:pBdr>
      <w:tabs>
        <w:tab w:val="clear" w:pos="4513"/>
        <w:tab w:val="clear" w:pos="9027"/>
      </w:tabs>
      <w:jc w:val="center"/>
    </w:pPr>
  </w:p>
  <w:p w:rsidR="00DD3DD7" w:rsidRPr="00DD3DD7" w:rsidP="00DD3DD7" w14:paraId="6CB5AB0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06E9FC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5211CF4" w14:textId="77777777">
    <w:pPr>
      <w:pStyle w:val="Header"/>
      <w:pBdr>
        <w:bottom w:val="single" w:sz="4" w:space="1" w:color="auto"/>
      </w:pBdr>
      <w:tabs>
        <w:tab w:val="clear" w:pos="4513"/>
        <w:tab w:val="clear" w:pos="9027"/>
      </w:tabs>
      <w:jc w:val="center"/>
    </w:pPr>
    <w:bookmarkStart w:id="3" w:name="spsSymbolHeader"/>
    <w:r w:rsidRPr="00DD3DD7">
      <w:t>G/TBT/N/USA/2252/Add.1</w:t>
    </w:r>
    <w:bookmarkEnd w:id="3"/>
  </w:p>
  <w:p w:rsidR="00DD3DD7" w:rsidRPr="00DD3DD7" w:rsidP="00DD3DD7" w14:paraId="62607D9A" w14:textId="77777777">
    <w:pPr>
      <w:pStyle w:val="Header"/>
      <w:pBdr>
        <w:bottom w:val="single" w:sz="4" w:space="1" w:color="auto"/>
      </w:pBdr>
      <w:tabs>
        <w:tab w:val="clear" w:pos="4513"/>
        <w:tab w:val="clear" w:pos="9027"/>
      </w:tabs>
      <w:jc w:val="center"/>
    </w:pPr>
  </w:p>
  <w:p w:rsidR="00DD3DD7" w:rsidRPr="00DD3DD7" w:rsidP="00DD3DD7" w14:paraId="2ABF694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C372EC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D4A67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90D0AC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46312CA" w14:textId="77777777">
          <w:pPr>
            <w:jc w:val="right"/>
            <w:rPr>
              <w:b/>
              <w:color w:val="FF0000"/>
              <w:szCs w:val="16"/>
            </w:rPr>
          </w:pPr>
          <w:r>
            <w:rPr>
              <w:b/>
              <w:color w:val="FF0000"/>
              <w:szCs w:val="16"/>
            </w:rPr>
            <w:t xml:space="preserve"> </w:t>
          </w:r>
        </w:p>
      </w:tc>
    </w:tr>
    <w:tr w14:paraId="5D7C7A3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402662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B1631AC" w14:textId="77777777">
          <w:pPr>
            <w:jc w:val="right"/>
            <w:rPr>
              <w:b/>
              <w:szCs w:val="16"/>
            </w:rPr>
          </w:pPr>
        </w:p>
      </w:tc>
    </w:tr>
    <w:tr w14:paraId="12D6A7E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B69449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078CF3C" w14:textId="77777777">
          <w:pPr>
            <w:jc w:val="right"/>
            <w:rPr>
              <w:rFonts w:eastAsia="Calibri" w:cs="Times New Roman"/>
              <w:b/>
              <w:szCs w:val="16"/>
            </w:rPr>
          </w:pPr>
          <w:bookmarkStart w:id="4" w:name="bmkSymbols"/>
          <w:r w:rsidRPr="002F663C">
            <w:rPr>
              <w:rFonts w:eastAsia="Calibri" w:cs="Times New Roman"/>
              <w:b/>
              <w:szCs w:val="16"/>
            </w:rPr>
            <w:t>G/TBT/N/USA/2252/Add.1</w:t>
          </w:r>
          <w:bookmarkEnd w:id="4"/>
        </w:p>
        <w:p w:rsidR="00C14444" w:rsidRPr="00C14444" w:rsidP="00C14444" w14:paraId="15B3191A" w14:textId="77777777">
          <w:pPr>
            <w:jc w:val="center"/>
            <w:rPr>
              <w:szCs w:val="16"/>
            </w:rPr>
          </w:pPr>
        </w:p>
      </w:tc>
    </w:tr>
    <w:tr w14:paraId="4DE9F0F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FF512C0" w14:textId="77777777"/>
      </w:tc>
      <w:tc>
        <w:tcPr>
          <w:tcW w:w="5448" w:type="dxa"/>
          <w:gridSpan w:val="2"/>
          <w:shd w:val="clear" w:color="auto" w:fill="FFFFFF"/>
          <w:tcMar>
            <w:left w:w="108" w:type="dxa"/>
            <w:right w:w="108" w:type="dxa"/>
          </w:tcMar>
          <w:vAlign w:val="center"/>
        </w:tcPr>
        <w:p w:rsidR="00ED54E0" w:rsidRPr="00182B84" w:rsidP="00425DC5" w14:paraId="07DD3FEC" w14:textId="77777777">
          <w:pPr>
            <w:jc w:val="right"/>
            <w:rPr>
              <w:szCs w:val="16"/>
            </w:rPr>
          </w:pPr>
          <w:bookmarkStart w:id="5" w:name="bmkDate"/>
          <w:r w:rsidRPr="00182B84">
            <w:rPr>
              <w:szCs w:val="16"/>
            </w:rPr>
            <w:t>3 August 2026</w:t>
          </w:r>
          <w:bookmarkEnd w:id="5"/>
        </w:p>
      </w:tc>
    </w:tr>
    <w:tr w14:paraId="6539B7E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2CEF2DA" w14:textId="77777777">
          <w:pPr>
            <w:jc w:val="left"/>
            <w:rPr>
              <w:b/>
            </w:rPr>
          </w:pPr>
          <w:bookmarkStart w:id="6" w:name="bmkSerial"/>
          <w:r>
            <w:rPr>
              <w:rFonts w:ascii="Verdana" w:eastAsia="Verdana" w:hAnsi="Verdana" w:cs="Verdana"/>
              <w:b w:val="0"/>
              <w:color w:val="FF0000"/>
              <w:sz w:val="18"/>
            </w:rPr>
            <w:t>(26-5517)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8475FF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7EFE4C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2523BF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7D455E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92824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5470219">
    <w:abstractNumId w:val="9"/>
  </w:num>
  <w:num w:numId="2" w16cid:durableId="1218973722">
    <w:abstractNumId w:val="7"/>
  </w:num>
  <w:num w:numId="3" w16cid:durableId="2046980991">
    <w:abstractNumId w:val="6"/>
  </w:num>
  <w:num w:numId="4" w16cid:durableId="1883325521">
    <w:abstractNumId w:val="5"/>
  </w:num>
  <w:num w:numId="5" w16cid:durableId="2072464018">
    <w:abstractNumId w:val="4"/>
  </w:num>
  <w:num w:numId="6" w16cid:durableId="611398237">
    <w:abstractNumId w:val="12"/>
  </w:num>
  <w:num w:numId="7" w16cid:durableId="448283216">
    <w:abstractNumId w:val="11"/>
  </w:num>
  <w:num w:numId="8" w16cid:durableId="1707178681">
    <w:abstractNumId w:val="10"/>
  </w:num>
  <w:num w:numId="9" w16cid:durableId="14669681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2884569">
    <w:abstractNumId w:val="13"/>
  </w:num>
  <w:num w:numId="11" w16cid:durableId="452986107">
    <w:abstractNumId w:val="8"/>
  </w:num>
  <w:num w:numId="12" w16cid:durableId="496115725">
    <w:abstractNumId w:val="3"/>
  </w:num>
  <w:num w:numId="13" w16cid:durableId="1341085429">
    <w:abstractNumId w:val="2"/>
  </w:num>
  <w:num w:numId="14" w16cid:durableId="2022975143">
    <w:abstractNumId w:val="1"/>
  </w:num>
  <w:num w:numId="15" w16cid:durableId="2122414876">
    <w:abstractNumId w:val="0"/>
  </w:num>
  <w:num w:numId="16" w16cid:durableId="200651656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7"/>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39B0"/>
    <w:rsid w:val="00124403"/>
    <w:rsid w:val="0013337F"/>
    <w:rsid w:val="0013637D"/>
    <w:rsid w:val="001642F0"/>
    <w:rsid w:val="00165ABE"/>
    <w:rsid w:val="00175DD6"/>
    <w:rsid w:val="00182B84"/>
    <w:rsid w:val="001B5874"/>
    <w:rsid w:val="001C2A9D"/>
    <w:rsid w:val="001E291F"/>
    <w:rsid w:val="001E2E4A"/>
    <w:rsid w:val="00223DA8"/>
    <w:rsid w:val="00233408"/>
    <w:rsid w:val="00265A0E"/>
    <w:rsid w:val="0027067B"/>
    <w:rsid w:val="00281997"/>
    <w:rsid w:val="00290AA4"/>
    <w:rsid w:val="0029269F"/>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4F60"/>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31103"/>
    <w:rsid w:val="00D51C5C"/>
    <w:rsid w:val="00D52A9D"/>
    <w:rsid w:val="00D55AAD"/>
    <w:rsid w:val="00D747AE"/>
    <w:rsid w:val="00D9226C"/>
    <w:rsid w:val="00D95F69"/>
    <w:rsid w:val="00DA20BD"/>
    <w:rsid w:val="00DA4169"/>
    <w:rsid w:val="00DA6723"/>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1EA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7/chapter-I/subchapter-A/part-1" TargetMode="External" /><Relationship Id="rId11" Type="http://schemas.openxmlformats.org/officeDocument/2006/relationships/hyperlink" Target="https://www.ecfr.gov/current/title-47/chapter-I/subchapter-B/part-25" TargetMode="External" /><Relationship Id="rId12" Type="http://schemas.openxmlformats.org/officeDocument/2006/relationships/hyperlink" Target="https://www.ecfr.gov/current/title-47/chapter-I/subchapter-B/part-27" TargetMode="External" /><Relationship Id="rId13" Type="http://schemas.openxmlformats.org/officeDocument/2006/relationships/hyperlink" Target="https://www.govinfo.gov/content/pkg/FR-2026-07-31/html/2026-15598.htm" TargetMode="External" /><Relationship Id="rId14" Type="http://schemas.openxmlformats.org/officeDocument/2006/relationships/hyperlink" Target="https://www.govinfo.gov/content/pkg/FR-2026-07-31/pdf/2026-15598.pdf" TargetMode="External" /><Relationship Id="rId15" Type="http://schemas.openxmlformats.org/officeDocument/2006/relationships/hyperlink" Target="https://docs.fcc.gov/public/attachments/FCC-26-46A1.pdf" TargetMode="External" /><Relationship Id="rId16" Type="http://schemas.openxmlformats.org/officeDocument/2006/relationships/hyperlink" Target="https://www.fcc.gov/edocs/search-results?t=quick&amp;fccdaNo=18-122" TargetMode="External" /><Relationship Id="rId17" Type="http://schemas.openxmlformats.org/officeDocument/2006/relationships/hyperlink" Target="https://www.fcc.gov/edocs/search-results?t=quick&amp;dockets=25-59" TargetMode="External" /><Relationship Id="rId18" Type="http://schemas.openxmlformats.org/officeDocument/2006/relationships/hyperlink" Target="https://www.fcc.gov/edocs/search-results?t=quick&amp;fccdaNo=26-46" TargetMode="External" /><Relationship Id="rId19" Type="http://schemas.openxmlformats.org/officeDocument/2006/relationships/hyperlink" Target="https://www.fcc.gov/edocs"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4036_00_e.pdf" TargetMode="External" /><Relationship Id="rId8" Type="http://schemas.openxmlformats.org/officeDocument/2006/relationships/hyperlink" Target="https://members.wto.org/crnattachments/2026/TBT/USA/final_measure/26_04036_01_e.pdf" TargetMode="External" /><Relationship Id="rId9" Type="http://schemas.openxmlformats.org/officeDocument/2006/relationships/hyperlink" Target="https://www.ecfr.gov/current/title-4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A0161-3C78-4B2A-9D27-75832DC81934}">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2026-08-03T08:32:00Z</dcterms:created>
  <dcterms:modified xsi:type="dcterms:W3CDTF">2026-08-03T08:34:00Z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