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5557DD29" w14:textId="77777777">
      <w:pPr>
        <w:pStyle w:val="Title"/>
      </w:pPr>
      <w:r w:rsidRPr="002F663C">
        <w:t>NOTIFICATION</w:t>
      </w:r>
    </w:p>
    <w:p w:rsidR="002F663C" w:rsidRPr="002F663C" w:rsidP="00DD3DD7" w14:paraId="26CC6063" w14:textId="77777777">
      <w:pPr>
        <w:pStyle w:val="Title3"/>
      </w:pPr>
      <w:r w:rsidRPr="002F663C">
        <w:t>Addendum</w:t>
      </w:r>
    </w:p>
    <w:p w:rsidR="002F663C" w:rsidP="001E2E4A" w14:paraId="099A7E6D"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06F0C184" w14:textId="77777777">
      <w:pPr>
        <w:rPr>
          <w:rFonts w:eastAsia="Calibri" w:cs="Times New Roman"/>
        </w:rPr>
      </w:pPr>
    </w:p>
    <w:p w:rsidR="002F663C" w:rsidRPr="002F663C" w:rsidP="002F663C" w14:paraId="5D3C94FB" w14:textId="77777777">
      <w:pPr>
        <w:jc w:val="center"/>
        <w:rPr>
          <w:rFonts w:eastAsia="Calibri" w:cs="Times New Roman"/>
          <w:b/>
        </w:rPr>
      </w:pPr>
      <w:r w:rsidRPr="002F663C">
        <w:rPr>
          <w:rFonts w:eastAsia="Calibri" w:cs="Times New Roman"/>
          <w:b/>
        </w:rPr>
        <w:t>_______________</w:t>
      </w:r>
    </w:p>
    <w:p w:rsidR="002F663C" w:rsidP="002F663C" w14:paraId="782C4B94" w14:textId="77777777">
      <w:pPr>
        <w:rPr>
          <w:rFonts w:eastAsia="Calibri" w:cs="Times New Roman"/>
        </w:rPr>
      </w:pPr>
    </w:p>
    <w:p w:rsidR="00C14444" w:rsidRPr="002F663C" w:rsidP="002F663C" w14:paraId="565C6A45" w14:textId="77777777">
      <w:pPr>
        <w:rPr>
          <w:rFonts w:eastAsia="Calibri" w:cs="Times New Roman"/>
        </w:rPr>
      </w:pPr>
    </w:p>
    <w:p w:rsidR="002F663C" w:rsidRPr="002F663C" w:rsidP="002F663C" w14:paraId="3265BC7F"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Revision of the Order for Enforcement of the Act on the Regulation of Manufacture and Evaluation of Chemical Substances</w:t>
      </w:r>
    </w:p>
    <w:p w:rsidR="002F663C" w:rsidRPr="002F663C" w:rsidP="002F663C" w14:paraId="03FD2F6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414F1416"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3103F09"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60614AD" w14:textId="77777777" w:rsidTr="00E9471B">
        <w:tblPrEx>
          <w:tblW w:w="9049" w:type="dxa"/>
          <w:tblLayout w:type="fixed"/>
          <w:tblLook w:val="04A0"/>
        </w:tblPrEx>
        <w:tc>
          <w:tcPr>
            <w:tcW w:w="851" w:type="dxa"/>
          </w:tcPr>
          <w:p w:rsidR="002F663C" w:rsidRPr="00711F9C" w:rsidP="00C14444" w14:paraId="11C2655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9B669CF"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1FDEACD0" w14:textId="77777777" w:rsidTr="00E9471B">
        <w:tblPrEx>
          <w:tblW w:w="9049" w:type="dxa"/>
          <w:tblLayout w:type="fixed"/>
          <w:tblLook w:val="04A0"/>
        </w:tblPrEx>
        <w:tc>
          <w:tcPr>
            <w:tcW w:w="851" w:type="dxa"/>
          </w:tcPr>
          <w:p w:rsidR="002F663C" w:rsidRPr="00711F9C" w:rsidP="00C14444" w14:paraId="0253E89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0EEE7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1532BF2" w14:textId="77777777" w:rsidTr="00E9471B">
        <w:tblPrEx>
          <w:tblW w:w="9049" w:type="dxa"/>
          <w:tblLayout w:type="fixed"/>
          <w:tblLook w:val="04A0"/>
        </w:tblPrEx>
        <w:tc>
          <w:tcPr>
            <w:tcW w:w="851" w:type="dxa"/>
          </w:tcPr>
          <w:p w:rsidR="002F663C" w:rsidRPr="00711F9C" w:rsidP="00C14444" w14:paraId="3C987BC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0D187C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17 December 2025</w:t>
            </w:r>
          </w:p>
        </w:tc>
      </w:tr>
      <w:tr w14:paraId="5A9FCB60" w14:textId="77777777" w:rsidTr="00E9471B">
        <w:tblPrEx>
          <w:tblW w:w="9049" w:type="dxa"/>
          <w:tblLayout w:type="fixed"/>
          <w:tblLook w:val="04A0"/>
        </w:tblPrEx>
        <w:tc>
          <w:tcPr>
            <w:tcW w:w="851" w:type="dxa"/>
          </w:tcPr>
          <w:p w:rsidR="002F663C" w:rsidRPr="00711F9C" w:rsidP="00C14444" w14:paraId="2EC9BB6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0C274C1E"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17 June 2026</w:t>
            </w:r>
          </w:p>
        </w:tc>
      </w:tr>
      <w:tr w14:paraId="5BB2C450" w14:textId="77777777" w:rsidTr="00E9471B">
        <w:tblPrEx>
          <w:tblW w:w="9049" w:type="dxa"/>
          <w:tblLayout w:type="fixed"/>
          <w:tblLook w:val="04A0"/>
        </w:tblPrEx>
        <w:tc>
          <w:tcPr>
            <w:tcW w:w="851" w:type="dxa"/>
          </w:tcPr>
          <w:p w:rsidR="002F663C" w:rsidRPr="00711F9C" w:rsidP="00C14444" w14:paraId="3F4A0FB8"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1749EAA0"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09BABB5E" w14:textId="77777777">
            <w:pPr>
              <w:spacing w:before="120" w:after="120"/>
              <w:rPr>
                <w:rFonts w:eastAsia="Calibri" w:cs="Times New Roman"/>
              </w:rPr>
            </w:pPr>
            <w:hyperlink r:id="rId7" w:tgtFrame="_blank" w:history="1">
              <w:r w:rsidRPr="002F663C">
                <w:rPr>
                  <w:rFonts w:eastAsia="Calibri" w:cs="Times New Roman"/>
                  <w:color w:val="0000FF"/>
                  <w:u w:val="single"/>
                </w:rPr>
                <w:t>https://www.meti.go.jp/english/press/2025/1212_001.html</w:t>
              </w:r>
            </w:hyperlink>
          </w:p>
        </w:tc>
      </w:tr>
      <w:tr w14:paraId="538B86C2" w14:textId="77777777" w:rsidTr="00E9471B">
        <w:tblPrEx>
          <w:tblW w:w="9049" w:type="dxa"/>
          <w:tblLayout w:type="fixed"/>
          <w:tblLook w:val="04A0"/>
        </w:tblPrEx>
        <w:tc>
          <w:tcPr>
            <w:tcW w:w="851" w:type="dxa"/>
          </w:tcPr>
          <w:p w:rsidR="002F663C" w:rsidRPr="00711F9C" w:rsidP="00C14444" w14:paraId="74220F9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59BE297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F48B66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5DA2C6B" w14:textId="77777777" w:rsidTr="00E9471B">
        <w:tblPrEx>
          <w:tblW w:w="9049" w:type="dxa"/>
          <w:tblLayout w:type="fixed"/>
          <w:tblLook w:val="04A0"/>
        </w:tblPrEx>
        <w:tc>
          <w:tcPr>
            <w:tcW w:w="851" w:type="dxa"/>
          </w:tcPr>
          <w:p w:rsidR="002F663C" w:rsidRPr="00711F9C" w:rsidP="00C14444" w14:paraId="2ABD906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55A782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AC0E9E8"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71AD5EB" w14:textId="77777777" w:rsidTr="00E9471B">
        <w:tblPrEx>
          <w:tblW w:w="9049" w:type="dxa"/>
          <w:tblLayout w:type="fixed"/>
          <w:tblLook w:val="04A0"/>
        </w:tblPrEx>
        <w:tc>
          <w:tcPr>
            <w:tcW w:w="851" w:type="dxa"/>
          </w:tcPr>
          <w:p w:rsidR="002F663C" w:rsidRPr="00711F9C" w:rsidP="00C14444" w14:paraId="6DE6D51E"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B8ACE5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0D0F7E2" w14:textId="77777777" w:rsidTr="00E9471B">
        <w:tblPrEx>
          <w:tblW w:w="9049" w:type="dxa"/>
          <w:tblLayout w:type="fixed"/>
          <w:tblLook w:val="04A0"/>
        </w:tblPrEx>
        <w:tc>
          <w:tcPr>
            <w:tcW w:w="851" w:type="dxa"/>
            <w:tcBorders>
              <w:bottom w:val="double" w:sz="4" w:space="0" w:color="auto"/>
            </w:tcBorders>
          </w:tcPr>
          <w:p w:rsidR="002F663C" w:rsidRPr="00711F9C" w:rsidP="00C14444" w14:paraId="4B8D6AF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B4C7FD6"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3BC242FD" w14:textId="77777777">
      <w:pPr>
        <w:jc w:val="left"/>
        <w:rPr>
          <w:rFonts w:eastAsia="Calibri" w:cs="Times New Roman"/>
          <w:highlight w:val="yellow"/>
        </w:rPr>
      </w:pPr>
    </w:p>
    <w:p w:rsidR="003971FF" w:rsidRPr="007F6EA2" w:rsidP="00B16ACF" w14:paraId="2690ABFE"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PFHxS-related compounds, which are potentially hazardous substances because of their non-biodegradability, high degree of bioaccumulation potential, and chronic toxicity, were designated as Class I Specified Chemical Substances under the Order for Enforcement of the Act on the Regulation of Their Manufacture and Evaluation of Chemical Substances from 17 June 2026, in order to prevent environmental pollution.</w:t>
      </w:r>
    </w:p>
    <w:p w:rsidR="00A37E97" w:rsidRPr="002F663C" w:rsidP="00B16ACF" w14:paraId="1722FF13" w14:textId="77777777">
      <w:pPr>
        <w:spacing w:before="120" w:after="120"/>
        <w:rPr>
          <w:rFonts w:eastAsia="Calibri" w:cs="Times New Roman"/>
          <w:szCs w:val="18"/>
        </w:rPr>
      </w:pPr>
      <w:r w:rsidRPr="002F663C">
        <w:rPr>
          <w:rFonts w:eastAsia="Calibri" w:cs="Times New Roman"/>
          <w:szCs w:val="18"/>
        </w:rPr>
        <w:t>This revision is based on the decision at the 10th Conference of the Parties to the Stockholm Convention on Persistent Organic Pollutants in 2022. In addition, products in which PFHxS-related compounds are used were prohibited from being imported from 17 June 2026.</w:t>
      </w:r>
    </w:p>
    <w:p w:rsidR="006C5A96" w:rsidP="006C5A96" w14:paraId="34A0408A" w14:textId="77777777">
      <w:pPr>
        <w:jc w:val="center"/>
        <w:rPr>
          <w:b/>
        </w:rPr>
      </w:pPr>
      <w:r w:rsidRPr="003971FF">
        <w:rPr>
          <w:b/>
        </w:rPr>
        <w:t>__________</w:t>
      </w:r>
    </w:p>
    <w:p w:rsidR="004D4D19" w:rsidP="007F38C2" w14:paraId="02D8B04C" w14:textId="77777777">
      <w:pPr>
        <w:jc w:val="center"/>
        <w:rPr>
          <w:b/>
        </w:rPr>
      </w:pPr>
    </w:p>
    <w:p w:rsidR="00A1565D" w:rsidP="003971FF" w14:paraId="4DF015FF"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A6309D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13D74555"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96826" w:rsidP="00ED54E0" w14:paraId="587BD1FC" w14:textId="77777777">
      <w:r>
        <w:separator/>
      </w:r>
    </w:p>
  </w:footnote>
  <w:footnote w:type="continuationSeparator" w:id="1">
    <w:p w:rsidR="00A96826" w:rsidP="00ED54E0" w14:paraId="552D9D26" w14:textId="77777777">
      <w:r>
        <w:continuationSeparator/>
      </w:r>
    </w:p>
  </w:footnote>
  <w:footnote w:id="2">
    <w:p w:rsidR="007F6EA2" w14:paraId="37003E5D"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D7E2938"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7C001EFC" w14:textId="77777777">
    <w:pPr>
      <w:pStyle w:val="Header"/>
      <w:pBdr>
        <w:bottom w:val="single" w:sz="4" w:space="1" w:color="auto"/>
      </w:pBdr>
      <w:tabs>
        <w:tab w:val="clear" w:pos="4513"/>
        <w:tab w:val="clear" w:pos="9027"/>
      </w:tabs>
      <w:jc w:val="center"/>
    </w:pPr>
  </w:p>
  <w:p w:rsidR="00DD3DD7" w:rsidRPr="00DD3DD7" w:rsidP="00DD3DD7" w14:paraId="2BB19AF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793B60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956A830" w14:textId="77777777">
    <w:pPr>
      <w:pStyle w:val="Header"/>
      <w:pBdr>
        <w:bottom w:val="single" w:sz="4" w:space="1" w:color="auto"/>
      </w:pBdr>
      <w:tabs>
        <w:tab w:val="clear" w:pos="4513"/>
        <w:tab w:val="clear" w:pos="9027"/>
      </w:tabs>
      <w:jc w:val="center"/>
    </w:pPr>
    <w:bookmarkStart w:id="3" w:name="spsSymbolHeader"/>
    <w:r w:rsidRPr="00DD3DD7">
      <w:t>G/TBT/N/JPN/879/Add.1</w:t>
    </w:r>
    <w:bookmarkEnd w:id="3"/>
  </w:p>
  <w:p w:rsidR="00DD3DD7" w:rsidRPr="00DD3DD7" w:rsidP="00DD3DD7" w14:paraId="4C7F0929" w14:textId="77777777">
    <w:pPr>
      <w:pStyle w:val="Header"/>
      <w:pBdr>
        <w:bottom w:val="single" w:sz="4" w:space="1" w:color="auto"/>
      </w:pBdr>
      <w:tabs>
        <w:tab w:val="clear" w:pos="4513"/>
        <w:tab w:val="clear" w:pos="9027"/>
      </w:tabs>
      <w:jc w:val="center"/>
    </w:pPr>
  </w:p>
  <w:p w:rsidR="00DD3DD7" w:rsidRPr="00DD3DD7" w:rsidP="00DD3DD7" w14:paraId="408F4DE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4AD436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9BB4888"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35F15D1D"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078DE5F3" w14:textId="77777777">
          <w:pPr>
            <w:jc w:val="right"/>
            <w:rPr>
              <w:b/>
              <w:color w:val="FF0000"/>
              <w:szCs w:val="16"/>
            </w:rPr>
          </w:pPr>
          <w:r>
            <w:rPr>
              <w:b/>
              <w:color w:val="FF0000"/>
              <w:szCs w:val="16"/>
            </w:rPr>
            <w:t xml:space="preserve"> </w:t>
          </w:r>
        </w:p>
      </w:tc>
    </w:tr>
    <w:tr w14:paraId="1FB18C8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0DA7E85"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69348A7B" w14:textId="77777777">
          <w:pPr>
            <w:jc w:val="right"/>
            <w:rPr>
              <w:b/>
              <w:szCs w:val="16"/>
            </w:rPr>
          </w:pPr>
        </w:p>
      </w:tc>
    </w:tr>
    <w:tr w14:paraId="4709017E"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9696DA2"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C9FE872" w14:textId="77777777">
          <w:pPr>
            <w:jc w:val="right"/>
            <w:rPr>
              <w:rFonts w:eastAsia="Calibri" w:cs="Times New Roman"/>
              <w:b/>
              <w:szCs w:val="16"/>
            </w:rPr>
          </w:pPr>
          <w:bookmarkStart w:id="4" w:name="bmkSymbols"/>
          <w:r w:rsidRPr="002F663C">
            <w:rPr>
              <w:rFonts w:eastAsia="Calibri" w:cs="Times New Roman"/>
              <w:b/>
              <w:szCs w:val="16"/>
            </w:rPr>
            <w:t>G/TBT/N/JPN/879/Add.1</w:t>
          </w:r>
          <w:bookmarkEnd w:id="4"/>
        </w:p>
        <w:p w:rsidR="00C14444" w:rsidRPr="00C14444" w:rsidP="00C14444" w14:paraId="7DA53C58" w14:textId="77777777">
          <w:pPr>
            <w:jc w:val="center"/>
            <w:rPr>
              <w:szCs w:val="16"/>
            </w:rPr>
          </w:pPr>
        </w:p>
      </w:tc>
    </w:tr>
    <w:tr w14:paraId="6D579AA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3F8B0CA0" w14:textId="77777777"/>
      </w:tc>
      <w:tc>
        <w:tcPr>
          <w:tcW w:w="5448" w:type="dxa"/>
          <w:gridSpan w:val="2"/>
          <w:shd w:val="clear" w:color="auto" w:fill="FFFFFF"/>
          <w:tcMar>
            <w:left w:w="108" w:type="dxa"/>
            <w:right w:w="108" w:type="dxa"/>
          </w:tcMar>
          <w:vAlign w:val="center"/>
        </w:tcPr>
        <w:p w:rsidR="00ED54E0" w:rsidRPr="00182B84" w:rsidP="00425DC5" w14:paraId="54702566" w14:textId="77777777">
          <w:pPr>
            <w:jc w:val="right"/>
            <w:rPr>
              <w:szCs w:val="16"/>
            </w:rPr>
          </w:pPr>
          <w:bookmarkStart w:id="5" w:name="bmkDate"/>
          <w:r w:rsidRPr="00182B84">
            <w:rPr>
              <w:szCs w:val="16"/>
            </w:rPr>
            <w:t>3 August 2026</w:t>
          </w:r>
          <w:bookmarkEnd w:id="5"/>
        </w:p>
      </w:tc>
    </w:tr>
    <w:tr w14:paraId="2F013953"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4D43E39" w14:textId="77777777">
          <w:pPr>
            <w:jc w:val="left"/>
            <w:rPr>
              <w:b/>
            </w:rPr>
          </w:pPr>
          <w:bookmarkStart w:id="6" w:name="bmkSerial"/>
          <w:r>
            <w:rPr>
              <w:rFonts w:ascii="Verdana" w:eastAsia="Verdana" w:hAnsi="Verdana" w:cs="Verdana"/>
              <w:b w:val="0"/>
              <w:color w:val="FF0000"/>
              <w:sz w:val="18"/>
            </w:rPr>
            <w:t>(26-5520)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6D63F6D5"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755BEB4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D00E703"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6AB5155"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25E65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74325133">
    <w:abstractNumId w:val="9"/>
  </w:num>
  <w:num w:numId="2" w16cid:durableId="1351370680">
    <w:abstractNumId w:val="7"/>
  </w:num>
  <w:num w:numId="3" w16cid:durableId="78647457">
    <w:abstractNumId w:val="6"/>
  </w:num>
  <w:num w:numId="4" w16cid:durableId="629745772">
    <w:abstractNumId w:val="5"/>
  </w:num>
  <w:num w:numId="5" w16cid:durableId="1252660859">
    <w:abstractNumId w:val="4"/>
  </w:num>
  <w:num w:numId="6" w16cid:durableId="1029139445">
    <w:abstractNumId w:val="12"/>
  </w:num>
  <w:num w:numId="7" w16cid:durableId="480580086">
    <w:abstractNumId w:val="11"/>
  </w:num>
  <w:num w:numId="8" w16cid:durableId="1820271175">
    <w:abstractNumId w:val="10"/>
  </w:num>
  <w:num w:numId="9" w16cid:durableId="6928051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15552461">
    <w:abstractNumId w:val="13"/>
  </w:num>
  <w:num w:numId="11" w16cid:durableId="620259221">
    <w:abstractNumId w:val="8"/>
  </w:num>
  <w:num w:numId="12" w16cid:durableId="1974093805">
    <w:abstractNumId w:val="3"/>
  </w:num>
  <w:num w:numId="13" w16cid:durableId="2046252972">
    <w:abstractNumId w:val="2"/>
  </w:num>
  <w:num w:numId="14" w16cid:durableId="1100372730">
    <w:abstractNumId w:val="1"/>
  </w:num>
  <w:num w:numId="15" w16cid:durableId="1032924798">
    <w:abstractNumId w:val="0"/>
  </w:num>
  <w:num w:numId="16" w16cid:durableId="99117449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5ABE"/>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95B79"/>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878AF"/>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0861"/>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37E97"/>
    <w:rsid w:val="00A43C3A"/>
    <w:rsid w:val="00A6057A"/>
    <w:rsid w:val="00A72245"/>
    <w:rsid w:val="00A74017"/>
    <w:rsid w:val="00A8301D"/>
    <w:rsid w:val="00A96826"/>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367B"/>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983A9BA"/>
  <w15:docId w15:val="{1B07536B-2FC3-44AD-B682-512423B3E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meti.go.jp/english/press/2025/1212_001.html"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E5E7EB-6F7D-460A-BD3A-8037B87037A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1</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2026-08-03T08:39:00Z</dcterms:created>
  <dcterms:modified xsi:type="dcterms:W3CDTF">2026-08-03T08:44:00Z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