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0E1B5CE" w14:textId="77777777">
      <w:pPr>
        <w:pStyle w:val="Title"/>
      </w:pPr>
      <w:r w:rsidRPr="002F663C">
        <w:t>NOTIFICATION</w:t>
      </w:r>
    </w:p>
    <w:p w:rsidR="002F663C" w:rsidRPr="002F663C" w:rsidP="00DD3DD7" w14:paraId="4E088537" w14:textId="77777777">
      <w:pPr>
        <w:pStyle w:val="Title3"/>
      </w:pPr>
      <w:r w:rsidRPr="002F663C">
        <w:t>Addendum</w:t>
      </w:r>
    </w:p>
    <w:p w:rsidR="002F663C" w:rsidP="001E2E4A" w14:paraId="37EB5F9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28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5BBF81DE" w14:textId="77777777">
      <w:pPr>
        <w:rPr>
          <w:rFonts w:eastAsia="Calibri" w:cs="Times New Roman"/>
        </w:rPr>
      </w:pPr>
    </w:p>
    <w:p w:rsidR="002F663C" w:rsidRPr="002F663C" w:rsidP="002F663C" w14:paraId="5CE60334" w14:textId="77777777">
      <w:pPr>
        <w:jc w:val="center"/>
        <w:rPr>
          <w:rFonts w:eastAsia="Calibri" w:cs="Times New Roman"/>
          <w:b/>
        </w:rPr>
      </w:pPr>
      <w:r w:rsidRPr="002F663C">
        <w:rPr>
          <w:rFonts w:eastAsia="Calibri" w:cs="Times New Roman"/>
          <w:b/>
        </w:rPr>
        <w:t>_______________</w:t>
      </w:r>
    </w:p>
    <w:p w:rsidR="002F663C" w:rsidP="002F663C" w14:paraId="7F15CEC2" w14:textId="77777777">
      <w:pPr>
        <w:rPr>
          <w:rFonts w:eastAsia="Calibri" w:cs="Times New Roman"/>
        </w:rPr>
      </w:pPr>
    </w:p>
    <w:p w:rsidR="00C14444" w:rsidRPr="002F663C" w:rsidP="002F663C" w14:paraId="02A9E5C3" w14:textId="77777777">
      <w:pPr>
        <w:rPr>
          <w:rFonts w:eastAsia="Calibri" w:cs="Times New Roman"/>
        </w:rPr>
      </w:pPr>
    </w:p>
    <w:p w:rsidR="002F663C" w:rsidRPr="002F663C" w:rsidP="002F663C" w14:paraId="4AE011E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Perchloroethylene (PCE) and Carbon Tetrachloride (CTC); Regulation under the Toxic Substances Control Act (TSCA); Compliance Date Extensions</w:t>
      </w:r>
    </w:p>
    <w:p w:rsidR="002F663C" w:rsidRPr="002F663C" w:rsidP="002F663C" w14:paraId="111C91C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75AEFA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010961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92CE3F6" w14:textId="77777777" w:rsidTr="00E9471B">
        <w:tblPrEx>
          <w:tblW w:w="9049" w:type="dxa"/>
          <w:tblLayout w:type="fixed"/>
          <w:tblLook w:val="04A0"/>
        </w:tblPrEx>
        <w:tc>
          <w:tcPr>
            <w:tcW w:w="851" w:type="dxa"/>
          </w:tcPr>
          <w:p w:rsidR="002F663C" w:rsidRPr="00711F9C" w:rsidP="00C14444" w14:paraId="26A8F12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A39097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07AB45B" w14:textId="77777777" w:rsidTr="00E9471B">
        <w:tblPrEx>
          <w:tblW w:w="9049" w:type="dxa"/>
          <w:tblLayout w:type="fixed"/>
          <w:tblLook w:val="04A0"/>
        </w:tblPrEx>
        <w:tc>
          <w:tcPr>
            <w:tcW w:w="851" w:type="dxa"/>
          </w:tcPr>
          <w:p w:rsidR="002F663C" w:rsidRPr="00711F9C" w:rsidP="00C14444" w14:paraId="0A32240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09C8A8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E721CCC" w14:textId="77777777" w:rsidTr="00E9471B">
        <w:tblPrEx>
          <w:tblW w:w="9049" w:type="dxa"/>
          <w:tblLayout w:type="fixed"/>
          <w:tblLook w:val="04A0"/>
        </w:tblPrEx>
        <w:tc>
          <w:tcPr>
            <w:tcW w:w="851" w:type="dxa"/>
          </w:tcPr>
          <w:p w:rsidR="002F663C" w:rsidRPr="00711F9C" w:rsidP="00C14444" w14:paraId="0E65EF1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790F0C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28 July 2026</w:t>
            </w:r>
          </w:p>
        </w:tc>
      </w:tr>
      <w:tr w14:paraId="15364B09" w14:textId="77777777" w:rsidTr="00E9471B">
        <w:tblPrEx>
          <w:tblW w:w="9049" w:type="dxa"/>
          <w:tblLayout w:type="fixed"/>
          <w:tblLook w:val="04A0"/>
        </w:tblPrEx>
        <w:tc>
          <w:tcPr>
            <w:tcW w:w="851" w:type="dxa"/>
          </w:tcPr>
          <w:p w:rsidR="002F663C" w:rsidRPr="00711F9C" w:rsidP="00C14444" w14:paraId="4AC7869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38234F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28 July 2026</w:t>
            </w:r>
          </w:p>
        </w:tc>
      </w:tr>
      <w:tr w14:paraId="2F372B25" w14:textId="77777777" w:rsidTr="00E9471B">
        <w:tblPrEx>
          <w:tblW w:w="9049" w:type="dxa"/>
          <w:tblLayout w:type="fixed"/>
          <w:tblLook w:val="04A0"/>
        </w:tblPrEx>
        <w:tc>
          <w:tcPr>
            <w:tcW w:w="851" w:type="dxa"/>
          </w:tcPr>
          <w:p w:rsidR="002F663C" w:rsidRPr="00711F9C" w:rsidP="00C14444" w14:paraId="5EE95C4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986F37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93772AE"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https://members.wto.org/crnattachments/2026/TBT/USA/final_measure/26_03977_00_e.pdf</w:t>
              </w:r>
            </w:hyperlink>
          </w:p>
        </w:tc>
      </w:tr>
      <w:tr w14:paraId="647E7CF3" w14:textId="77777777" w:rsidTr="00E9471B">
        <w:tblPrEx>
          <w:tblW w:w="9049" w:type="dxa"/>
          <w:tblLayout w:type="fixed"/>
          <w:tblLook w:val="04A0"/>
        </w:tblPrEx>
        <w:tc>
          <w:tcPr>
            <w:tcW w:w="851" w:type="dxa"/>
          </w:tcPr>
          <w:p w:rsidR="002F663C" w:rsidRPr="00711F9C" w:rsidP="00C14444" w14:paraId="727EEB2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A111B2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D4B801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B90B8FB" w14:textId="77777777" w:rsidTr="00E9471B">
        <w:tblPrEx>
          <w:tblW w:w="9049" w:type="dxa"/>
          <w:tblLayout w:type="fixed"/>
          <w:tblLook w:val="04A0"/>
        </w:tblPrEx>
        <w:tc>
          <w:tcPr>
            <w:tcW w:w="851" w:type="dxa"/>
          </w:tcPr>
          <w:p w:rsidR="002F663C" w:rsidRPr="00711F9C" w:rsidP="00C14444" w14:paraId="638C5AC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A828E3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D9656E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2B7D11C" w14:textId="77777777" w:rsidTr="00E9471B">
        <w:tblPrEx>
          <w:tblW w:w="9049" w:type="dxa"/>
          <w:tblLayout w:type="fixed"/>
          <w:tblLook w:val="04A0"/>
        </w:tblPrEx>
        <w:tc>
          <w:tcPr>
            <w:tcW w:w="851" w:type="dxa"/>
          </w:tcPr>
          <w:p w:rsidR="002F663C" w:rsidRPr="00711F9C" w:rsidP="00C14444" w14:paraId="6A153F9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C35457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2E8AED5" w14:textId="77777777" w:rsidTr="00E9471B">
        <w:tblPrEx>
          <w:tblW w:w="9049" w:type="dxa"/>
          <w:tblLayout w:type="fixed"/>
          <w:tblLook w:val="04A0"/>
        </w:tblPrEx>
        <w:tc>
          <w:tcPr>
            <w:tcW w:w="851" w:type="dxa"/>
            <w:tcBorders>
              <w:bottom w:val="double" w:sz="4" w:space="0" w:color="auto"/>
            </w:tcBorders>
          </w:tcPr>
          <w:p w:rsidR="002F663C" w:rsidRPr="00711F9C" w:rsidP="00C14444" w14:paraId="50DDECF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CD7EE9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3880004" w14:textId="77777777">
      <w:pPr>
        <w:jc w:val="left"/>
        <w:rPr>
          <w:rFonts w:eastAsia="Calibri" w:cs="Times New Roman"/>
          <w:highlight w:val="yellow"/>
        </w:rPr>
      </w:pPr>
    </w:p>
    <w:p w:rsidR="003971FF" w:rsidRPr="007F6EA2" w:rsidP="00B16ACF" w14:paraId="33755CB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U.S. Environmental Protection Agency (EPA or Agency) is finalizing an extension of certain compliance dates applicable to certain entities subject to the risk-management rules for perchloroethylene (</w:t>
      </w:r>
      <w:hyperlink r:id="rId8" w:history="1">
        <w:r w:rsidRPr="002F663C">
          <w:rPr>
            <w:rFonts w:eastAsia="Calibri" w:cs="Times New Roman"/>
            <w:color w:val="0000FF"/>
            <w:szCs w:val="18"/>
            <w:u w:val="single"/>
          </w:rPr>
          <w:t>PCE</w:t>
        </w:r>
      </w:hyperlink>
      <w:r w:rsidRPr="002F663C">
        <w:rPr>
          <w:rFonts w:eastAsia="Calibri" w:cs="Times New Roman"/>
          <w:szCs w:val="18"/>
        </w:rPr>
        <w:t>) and carbon tetrachloride (</w:t>
      </w:r>
      <w:hyperlink r:id="rId9" w:history="1">
        <w:r w:rsidRPr="002F663C">
          <w:rPr>
            <w:rFonts w:eastAsia="Calibri" w:cs="Times New Roman"/>
            <w:color w:val="0000FF"/>
            <w:szCs w:val="18"/>
            <w:u w:val="single"/>
          </w:rPr>
          <w:t>CTC</w:t>
        </w:r>
      </w:hyperlink>
      <w:r w:rsidRPr="002F663C">
        <w:rPr>
          <w:rFonts w:eastAsia="Calibri" w:cs="Times New Roman"/>
          <w:szCs w:val="18"/>
        </w:rPr>
        <w:t>) under the Toxic Substances Control Act (</w:t>
      </w:r>
      <w:hyperlink r:id="rId10" w:history="1">
        <w:r w:rsidRPr="002F663C">
          <w:rPr>
            <w:rFonts w:eastAsia="Calibri" w:cs="Times New Roman"/>
            <w:color w:val="0000FF"/>
            <w:szCs w:val="18"/>
            <w:u w:val="single"/>
          </w:rPr>
          <w:t>TSCA</w:t>
        </w:r>
      </w:hyperlink>
      <w:r w:rsidRPr="002F663C">
        <w:rPr>
          <w:rFonts w:eastAsia="Calibri" w:cs="Times New Roman"/>
          <w:szCs w:val="18"/>
        </w:rPr>
        <w:t>). EPA is extending certain Workplace Chemical Protection Program (</w:t>
      </w:r>
      <w:hyperlink r:id="rId11" w:history="1">
        <w:r w:rsidRPr="002F663C">
          <w:rPr>
            <w:rFonts w:eastAsia="Calibri" w:cs="Times New Roman"/>
            <w:color w:val="0000FF"/>
            <w:szCs w:val="18"/>
            <w:u w:val="single"/>
          </w:rPr>
          <w:t>WCPP</w:t>
        </w:r>
      </w:hyperlink>
      <w:r w:rsidRPr="002F663C">
        <w:rPr>
          <w:rFonts w:eastAsia="Calibri" w:cs="Times New Roman"/>
          <w:szCs w:val="18"/>
        </w:rPr>
        <w:t>) compliance dates for non-federal owners and operators to match the existing compliance dates for federal agencies and their contractors. For both PCE and CTC, this action extends the compliance date for initial monitoring for inhalation exposure to 21 June 2027, and extends the compliance date to meet the existing chemical exposure limit (</w:t>
      </w:r>
      <w:hyperlink r:id="rId12" w:history="1">
        <w:r w:rsidRPr="002F663C">
          <w:rPr>
            <w:rFonts w:eastAsia="Calibri" w:cs="Times New Roman"/>
            <w:color w:val="0000FF"/>
            <w:szCs w:val="18"/>
            <w:u w:val="single"/>
          </w:rPr>
          <w:t>ECEL</w:t>
        </w:r>
      </w:hyperlink>
      <w:r w:rsidRPr="002F663C">
        <w:rPr>
          <w:rFonts w:eastAsia="Calibri" w:cs="Times New Roman"/>
          <w:szCs w:val="18"/>
        </w:rPr>
        <w:t>), establish a regulated area, institute a workplace information and training program, provide any required respiratory personal protective equipment (</w:t>
      </w:r>
      <w:hyperlink r:id="rId13" w:history="1">
        <w:r w:rsidRPr="002F663C">
          <w:rPr>
            <w:rFonts w:eastAsia="Calibri" w:cs="Times New Roman"/>
            <w:color w:val="0000FF"/>
            <w:szCs w:val="18"/>
            <w:u w:val="single"/>
          </w:rPr>
          <w:t>PPE</w:t>
        </w:r>
      </w:hyperlink>
      <w:r w:rsidRPr="002F663C">
        <w:rPr>
          <w:rFonts w:eastAsia="Calibri" w:cs="Times New Roman"/>
          <w:szCs w:val="18"/>
        </w:rPr>
        <w:t xml:space="preserve">), and establish a respiratory PPE program to 20 September 2027. For PCE, EPA is also extending the compliance date for federal entities to institute a workplace information and training program to 20 </w:t>
      </w:r>
      <w:r w:rsidRPr="002F663C">
        <w:rPr>
          <w:rFonts w:eastAsia="Calibri" w:cs="Times New Roman"/>
          <w:szCs w:val="18"/>
        </w:rPr>
        <w:t>September 2027, and for non-federal entities to establish and implement an exposure control plan to 20 December 2027.</w:t>
      </w:r>
    </w:p>
    <w:p w:rsidR="00730F26" w:rsidRPr="002F663C" w:rsidP="00B16ACF" w14:paraId="38739CD9" w14:textId="77777777">
      <w:pPr>
        <w:spacing w:before="120" w:after="120"/>
        <w:rPr>
          <w:rFonts w:eastAsia="Calibri" w:cs="Times New Roman"/>
          <w:szCs w:val="18"/>
        </w:rPr>
      </w:pPr>
      <w:r w:rsidRPr="002F663C">
        <w:rPr>
          <w:rFonts w:eastAsia="Calibri" w:cs="Times New Roman"/>
          <w:szCs w:val="18"/>
        </w:rPr>
        <w:t>This final rule is effective on 28 July 2026.</w:t>
      </w:r>
    </w:p>
    <w:p w:rsidR="00730F26" w:rsidRPr="002F663C" w:rsidP="00B16ACF" w14:paraId="4654F0AC" w14:textId="77777777">
      <w:pPr>
        <w:spacing w:before="120" w:after="120"/>
        <w:rPr>
          <w:rFonts w:eastAsia="Calibri" w:cs="Times New Roman"/>
          <w:szCs w:val="18"/>
        </w:rPr>
      </w:pPr>
      <w:r w:rsidRPr="002F663C">
        <w:rPr>
          <w:rFonts w:eastAsia="Calibri" w:cs="Times New Roman"/>
          <w:szCs w:val="18"/>
        </w:rPr>
        <w:t xml:space="preserve">91 Federal Register (FR) 47145, 28 July 2026; </w:t>
      </w:r>
      <w:hyperlink r:id="rId14" w:history="1">
        <w:r w:rsidRPr="002F663C">
          <w:rPr>
            <w:rFonts w:eastAsia="Calibri" w:cs="Times New Roman"/>
            <w:color w:val="0000FF"/>
            <w:szCs w:val="18"/>
            <w:u w:val="single"/>
          </w:rPr>
          <w:t>Title 40 Code of Federal Regulations (CFR) Part 751</w:t>
        </w:r>
      </w:hyperlink>
      <w:r w:rsidRPr="002F663C">
        <w:rPr>
          <w:rFonts w:eastAsia="Calibri" w:cs="Times New Roman"/>
          <w:szCs w:val="18"/>
        </w:rPr>
        <w:t>:</w:t>
      </w:r>
    </w:p>
    <w:p w:rsidR="00730F26" w:rsidRPr="002F663C" w:rsidP="00B16ACF" w14:paraId="43A1C708"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https://www.govinfo.gov/content/pkg/FR-2026-07-28/html/2026-15192.htm</w:t>
        </w:r>
      </w:hyperlink>
    </w:p>
    <w:p w:rsidR="00730F26" w:rsidRPr="002F663C" w:rsidP="00B16ACF" w14:paraId="305D61DD" w14:textId="77777777">
      <w:pPr>
        <w:spacing w:before="120" w:after="120"/>
        <w:rPr>
          <w:rFonts w:eastAsia="Calibri" w:cs="Times New Roman"/>
          <w:szCs w:val="18"/>
        </w:rPr>
      </w:pPr>
      <w:hyperlink r:id="rId16" w:history="1">
        <w:r w:rsidRPr="002F663C">
          <w:rPr>
            <w:rFonts w:eastAsia="Calibri" w:cs="Times New Roman"/>
            <w:color w:val="0000FF"/>
            <w:szCs w:val="18"/>
            <w:u w:val="single"/>
          </w:rPr>
          <w:t>https://www.govinfo.gov/content/pkg/FR-2026-07-28/pdf/2026-15192.pdf</w:t>
        </w:r>
      </w:hyperlink>
    </w:p>
    <w:p w:rsidR="00730F26" w:rsidRPr="002F663C" w:rsidP="00B16ACF" w14:paraId="09801A9A"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7" w:history="1">
        <w:r w:rsidRPr="002F663C">
          <w:rPr>
            <w:rFonts w:eastAsia="Calibri" w:cs="Times New Roman"/>
            <w:color w:val="0000FF"/>
            <w:szCs w:val="18"/>
            <w:u w:val="single"/>
          </w:rPr>
          <w:t>G/TBT/N/USA/2008/Rev.1</w:t>
        </w:r>
      </w:hyperlink>
      <w:r w:rsidRPr="002F663C">
        <w:rPr>
          <w:rFonts w:eastAsia="Calibri" w:cs="Times New Roman"/>
          <w:szCs w:val="18"/>
        </w:rPr>
        <w:t xml:space="preserve"> are identified by Docket Number EPA-HQ-OPPT-2026-0992. The Docket Folder is available from Regulations.gov at </w:t>
      </w:r>
      <w:hyperlink r:id="rId18" w:history="1">
        <w:r w:rsidRPr="002F663C">
          <w:rPr>
            <w:rFonts w:eastAsia="Calibri" w:cs="Times New Roman"/>
            <w:color w:val="0000FF"/>
            <w:szCs w:val="18"/>
            <w:u w:val="single"/>
          </w:rPr>
          <w:t>https://www.regulations.gov/docket/EPA-HQ-OPPT-2026-0992/document</w:t>
        </w:r>
      </w:hyperlink>
      <w:r w:rsidRPr="002F663C">
        <w:rPr>
          <w:rFonts w:eastAsia="Calibri" w:cs="Times New Roman"/>
          <w:szCs w:val="18"/>
        </w:rPr>
        <w:t xml:space="preserve"> and provides access to primary and supporting documents as well as comments received. Documents are also accessible from </w:t>
      </w:r>
      <w:hyperlink r:id="rId19"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12894C15" w14:textId="77777777">
      <w:pPr>
        <w:jc w:val="center"/>
        <w:rPr>
          <w:b/>
        </w:rPr>
      </w:pPr>
      <w:r w:rsidRPr="003971FF">
        <w:rPr>
          <w:b/>
        </w:rPr>
        <w:t>__________</w:t>
      </w:r>
    </w:p>
    <w:p w:rsidR="004D4D19" w:rsidP="007F38C2" w14:paraId="383875B4" w14:textId="77777777">
      <w:pPr>
        <w:jc w:val="center"/>
        <w:rPr>
          <w:b/>
        </w:rPr>
      </w:pPr>
    </w:p>
    <w:p w:rsidR="00A1565D" w:rsidP="003971FF" w14:paraId="69085D72"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B21787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643414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96B54" w:rsidP="00ED54E0" w14:paraId="3280C6BF" w14:textId="77777777">
      <w:r>
        <w:separator/>
      </w:r>
    </w:p>
  </w:footnote>
  <w:footnote w:type="continuationSeparator" w:id="1">
    <w:p w:rsidR="00C96B54" w:rsidP="00ED54E0" w14:paraId="154BE366" w14:textId="77777777">
      <w:r>
        <w:continuationSeparator/>
      </w:r>
    </w:p>
  </w:footnote>
  <w:footnote w:id="2">
    <w:p w:rsidR="007F6EA2" w14:paraId="0F8F875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AA435F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8B7D159" w14:textId="77777777">
    <w:pPr>
      <w:pStyle w:val="Header"/>
      <w:pBdr>
        <w:bottom w:val="single" w:sz="4" w:space="1" w:color="auto"/>
      </w:pBdr>
      <w:tabs>
        <w:tab w:val="clear" w:pos="4513"/>
        <w:tab w:val="clear" w:pos="9027"/>
      </w:tabs>
      <w:jc w:val="center"/>
    </w:pPr>
  </w:p>
  <w:p w:rsidR="00DD3DD7" w:rsidRPr="00DD3DD7" w:rsidP="00DD3DD7" w14:paraId="7EE7242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46246A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D7B3030" w14:textId="77777777">
    <w:pPr>
      <w:pStyle w:val="Header"/>
      <w:pBdr>
        <w:bottom w:val="single" w:sz="4" w:space="1" w:color="auto"/>
      </w:pBdr>
      <w:tabs>
        <w:tab w:val="clear" w:pos="4513"/>
        <w:tab w:val="clear" w:pos="9027"/>
      </w:tabs>
      <w:jc w:val="center"/>
    </w:pPr>
    <w:bookmarkStart w:id="3" w:name="spsSymbolHeader"/>
    <w:r w:rsidRPr="00DD3DD7">
      <w:t>G/TBT/N/USA/2008/Rev.1/Add.1</w:t>
    </w:r>
    <w:bookmarkEnd w:id="3"/>
  </w:p>
  <w:p w:rsidR="00DD3DD7" w:rsidRPr="00DD3DD7" w:rsidP="00DD3DD7" w14:paraId="69F47AD3" w14:textId="77777777">
    <w:pPr>
      <w:pStyle w:val="Header"/>
      <w:pBdr>
        <w:bottom w:val="single" w:sz="4" w:space="1" w:color="auto"/>
      </w:pBdr>
      <w:tabs>
        <w:tab w:val="clear" w:pos="4513"/>
        <w:tab w:val="clear" w:pos="9027"/>
      </w:tabs>
      <w:jc w:val="center"/>
    </w:pPr>
  </w:p>
  <w:p w:rsidR="00DD3DD7" w:rsidRPr="00DD3DD7" w:rsidP="00DD3DD7" w14:paraId="6318E53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D1F474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E229E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B51D14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CD6E37E" w14:textId="77777777">
          <w:pPr>
            <w:jc w:val="right"/>
            <w:rPr>
              <w:b/>
              <w:color w:val="FF0000"/>
              <w:szCs w:val="16"/>
            </w:rPr>
          </w:pPr>
          <w:r>
            <w:rPr>
              <w:b/>
              <w:color w:val="FF0000"/>
              <w:szCs w:val="16"/>
            </w:rPr>
            <w:t xml:space="preserve"> </w:t>
          </w:r>
        </w:p>
      </w:tc>
    </w:tr>
    <w:tr w14:paraId="38FB48E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16F11B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D0737FB" w14:textId="77777777">
          <w:pPr>
            <w:jc w:val="right"/>
            <w:rPr>
              <w:b/>
              <w:szCs w:val="16"/>
            </w:rPr>
          </w:pPr>
        </w:p>
      </w:tc>
    </w:tr>
    <w:tr w14:paraId="5EB43E2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B28145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BA1A7CB" w14:textId="77777777">
          <w:pPr>
            <w:jc w:val="right"/>
            <w:rPr>
              <w:rFonts w:eastAsia="Calibri" w:cs="Times New Roman"/>
              <w:b/>
              <w:szCs w:val="16"/>
            </w:rPr>
          </w:pPr>
          <w:bookmarkStart w:id="4" w:name="bmkSymbols"/>
          <w:r w:rsidRPr="002F663C">
            <w:rPr>
              <w:rFonts w:eastAsia="Calibri" w:cs="Times New Roman"/>
              <w:b/>
              <w:szCs w:val="16"/>
            </w:rPr>
            <w:t>G/TBT/N/USA/2008/Rev.1/Add.1</w:t>
          </w:r>
          <w:bookmarkEnd w:id="4"/>
        </w:p>
        <w:p w:rsidR="00C14444" w:rsidRPr="00C14444" w:rsidP="00C14444" w14:paraId="33AF148D" w14:textId="77777777">
          <w:pPr>
            <w:jc w:val="center"/>
            <w:rPr>
              <w:szCs w:val="16"/>
            </w:rPr>
          </w:pPr>
        </w:p>
      </w:tc>
    </w:tr>
    <w:tr w14:paraId="1393347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3C19C09" w14:textId="77777777"/>
      </w:tc>
      <w:tc>
        <w:tcPr>
          <w:tcW w:w="5448" w:type="dxa"/>
          <w:gridSpan w:val="2"/>
          <w:shd w:val="clear" w:color="auto" w:fill="FFFFFF"/>
          <w:tcMar>
            <w:left w:w="108" w:type="dxa"/>
            <w:right w:w="108" w:type="dxa"/>
          </w:tcMar>
          <w:vAlign w:val="center"/>
        </w:tcPr>
        <w:p w:rsidR="00ED54E0" w:rsidRPr="00182B84" w:rsidP="00425DC5" w14:paraId="758BE9BF" w14:textId="77777777">
          <w:pPr>
            <w:jc w:val="right"/>
            <w:rPr>
              <w:szCs w:val="16"/>
            </w:rPr>
          </w:pPr>
          <w:bookmarkStart w:id="5" w:name="bmkDate"/>
          <w:r w:rsidRPr="00182B84">
            <w:rPr>
              <w:szCs w:val="16"/>
            </w:rPr>
            <w:t>29 July 2026</w:t>
          </w:r>
          <w:bookmarkEnd w:id="5"/>
        </w:p>
      </w:tc>
    </w:tr>
    <w:tr w14:paraId="1D012EF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1512256" w14:textId="77777777">
          <w:pPr>
            <w:jc w:val="left"/>
            <w:rPr>
              <w:b/>
            </w:rPr>
          </w:pPr>
          <w:bookmarkStart w:id="6" w:name="bmkSerial"/>
          <w:r>
            <w:rPr>
              <w:rFonts w:ascii="Verdana" w:eastAsia="Verdana" w:hAnsi="Verdana" w:cs="Verdana"/>
              <w:b w:val="0"/>
              <w:color w:val="FF0000"/>
              <w:sz w:val="18"/>
            </w:rPr>
            <w:t>(26-5424)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09EF3F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33B73A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1732EB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AD407C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AD17C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52658725">
    <w:abstractNumId w:val="9"/>
  </w:num>
  <w:num w:numId="2" w16cid:durableId="2127769763">
    <w:abstractNumId w:val="7"/>
  </w:num>
  <w:num w:numId="3" w16cid:durableId="912273964">
    <w:abstractNumId w:val="6"/>
  </w:num>
  <w:num w:numId="4" w16cid:durableId="342320052">
    <w:abstractNumId w:val="5"/>
  </w:num>
  <w:num w:numId="5" w16cid:durableId="2018186455">
    <w:abstractNumId w:val="4"/>
  </w:num>
  <w:num w:numId="6" w16cid:durableId="395083703">
    <w:abstractNumId w:val="12"/>
  </w:num>
  <w:num w:numId="7" w16cid:durableId="1821726374">
    <w:abstractNumId w:val="11"/>
  </w:num>
  <w:num w:numId="8" w16cid:durableId="2119635636">
    <w:abstractNumId w:val="10"/>
  </w:num>
  <w:num w:numId="9" w16cid:durableId="1999529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5512773">
    <w:abstractNumId w:val="13"/>
  </w:num>
  <w:num w:numId="11" w16cid:durableId="327639079">
    <w:abstractNumId w:val="8"/>
  </w:num>
  <w:num w:numId="12" w16cid:durableId="797258840">
    <w:abstractNumId w:val="3"/>
  </w:num>
  <w:num w:numId="13" w16cid:durableId="1353528308">
    <w:abstractNumId w:val="2"/>
  </w:num>
  <w:num w:numId="14" w16cid:durableId="265040670">
    <w:abstractNumId w:val="1"/>
  </w:num>
  <w:num w:numId="15" w16cid:durableId="633372586">
    <w:abstractNumId w:val="0"/>
  </w:num>
  <w:num w:numId="16" w16cid:durableId="149456818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0672C"/>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30F26"/>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25339"/>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96B54"/>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5A5D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laws-regulations/summary-toxic-substances-control-act" TargetMode="External" /><Relationship Id="rId11" Type="http://schemas.openxmlformats.org/officeDocument/2006/relationships/hyperlink" Target="https://www.epa.gov/chemicals-under-tsca/epa-releases-compliance-guide-workplace-chemical-protection-program" TargetMode="External" /><Relationship Id="rId12" Type="http://schemas.openxmlformats.org/officeDocument/2006/relationships/hyperlink" Target="https://www.epa.gov/assessing-and-managing-chemicals-under-tsca/existing-chemical-exposure-limits-under-tsca" TargetMode="External" /><Relationship Id="rId13" Type="http://schemas.openxmlformats.org/officeDocument/2006/relationships/hyperlink" Target="https://www.osha.gov/personal-protective-equipment" TargetMode="External" /><Relationship Id="rId14" Type="http://schemas.openxmlformats.org/officeDocument/2006/relationships/hyperlink" Target="https://www.ecfr.gov/current/title-40/chapter-I/subchapter-R/part-751" TargetMode="External" /><Relationship Id="rId15" Type="http://schemas.openxmlformats.org/officeDocument/2006/relationships/hyperlink" Target="https://www.govinfo.gov/content/pkg/FR-2026-07-28/html/2026-15192.htm" TargetMode="External" /><Relationship Id="rId16" Type="http://schemas.openxmlformats.org/officeDocument/2006/relationships/hyperlink" Target="https://www.govinfo.gov/content/pkg/FR-2026-07-28/pdf/2026-15192.pdf" TargetMode="External" /><Relationship Id="rId17" Type="http://schemas.openxmlformats.org/officeDocument/2006/relationships/hyperlink" Target="https://eping.wto.org/en/Search?domainIds=1&amp;documentSymbol=usa%2F2008%2Frev.1" TargetMode="External" /><Relationship Id="rId18" Type="http://schemas.openxmlformats.org/officeDocument/2006/relationships/hyperlink" Target="https://www.regulations.gov/docket/EPA-HQ-OPPT-2026-0992/document" TargetMode="External" /><Relationship Id="rId19" Type="http://schemas.openxmlformats.org/officeDocument/2006/relationships/hyperlink" Target="http://www.regulations.gov/"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977_00_e.pdf" TargetMode="External" /><Relationship Id="rId8" Type="http://schemas.openxmlformats.org/officeDocument/2006/relationships/hyperlink" Target="https://www.epa.gov/assessing-and-managing-chemicals-under-tsca/risk-evaluation-perchloroethylene-pce" TargetMode="External" /><Relationship Id="rId9" Type="http://schemas.openxmlformats.org/officeDocument/2006/relationships/hyperlink" Target="https://www.epa.gov/assessing-and-managing-chemicals-under-tsca/risk-evaluation-carbon-tetrachlorid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FCB3453-768B-4869-8DC6-5C5D3B3F932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2026-07-29T10:47:00Z</dcterms:created>
  <dcterms:modified xsi:type="dcterms:W3CDTF">2026-07-29T10:47:00Z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