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DA20F5" w14:textId="77777777">
      <w:pPr>
        <w:pStyle w:val="Title"/>
        <w:rPr>
          <w:caps w:val="0"/>
          <w:kern w:val="0"/>
        </w:rPr>
      </w:pPr>
      <w:r w:rsidRPr="002F6A28">
        <w:rPr>
          <w:caps w:val="0"/>
          <w:kern w:val="0"/>
        </w:rPr>
        <w:t>NOTIFICATION</w:t>
      </w:r>
    </w:p>
    <w:p w:rsidR="009239F7" w:rsidRPr="002F6A28" w:rsidP="002F6A28" w14:paraId="5B2F2FDE" w14:textId="77777777">
      <w:pPr>
        <w:jc w:val="center"/>
      </w:pPr>
      <w:r w:rsidRPr="002F6A28">
        <w:t>The following notification is being circulated in accordance with Article 10.6</w:t>
      </w:r>
    </w:p>
    <w:p w:rsidR="009239F7" w:rsidRPr="002F6A28" w:rsidP="002F6A28" w14:paraId="3C4C41D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896730" w14:textId="77777777" w:rsidTr="00DB13FE">
        <w:tblPrEx>
          <w:tblW w:w="5000" w:type="pct"/>
          <w:tblLayout w:type="fixed"/>
          <w:tblLook w:val="0000"/>
        </w:tblPrEx>
        <w:tc>
          <w:tcPr>
            <w:tcW w:w="607" w:type="dxa"/>
            <w:tcBorders>
              <w:top w:val="double" w:sz="4" w:space="0" w:color="auto"/>
            </w:tcBorders>
          </w:tcPr>
          <w:p w:rsidR="00F85C99" w:rsidRPr="002F6A28" w:rsidP="002F6A28" w14:paraId="5485FDE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369DD2F"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7F57273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8BA1B5" w14:textId="77777777" w:rsidTr="00DB13FE">
        <w:tblPrEx>
          <w:tblW w:w="5000" w:type="pct"/>
          <w:tblLayout w:type="fixed"/>
          <w:tblLook w:val="0000"/>
        </w:tblPrEx>
        <w:tc>
          <w:tcPr>
            <w:tcW w:w="607" w:type="dxa"/>
          </w:tcPr>
          <w:p w:rsidR="00F85C99" w:rsidRPr="002F6A28" w:rsidP="002F6A28" w14:paraId="2B488B68" w14:textId="77777777">
            <w:pPr>
              <w:spacing w:before="120" w:after="120"/>
              <w:jc w:val="left"/>
            </w:pPr>
            <w:r w:rsidRPr="002F6A28">
              <w:rPr>
                <w:b/>
              </w:rPr>
              <w:t>2.</w:t>
            </w:r>
          </w:p>
        </w:tc>
        <w:tc>
          <w:tcPr>
            <w:tcW w:w="8373" w:type="dxa"/>
          </w:tcPr>
          <w:p w:rsidR="00F85C99" w:rsidRPr="002F6A28" w:rsidP="000C3B6C" w14:paraId="1918EEFF" w14:textId="77777777">
            <w:pPr>
              <w:spacing w:before="120" w:after="120"/>
            </w:pPr>
            <w:r w:rsidRPr="002F6A28">
              <w:rPr>
                <w:b/>
              </w:rPr>
              <w:t>Agency responsible:</w:t>
            </w:r>
            <w:r w:rsidRPr="00C379C8" w:rsidR="00EE3A11">
              <w:t xml:space="preserve"> </w:t>
            </w:r>
          </w:p>
          <w:p w:rsidR="00EE3A11" w:rsidRPr="00C379C8" w:rsidP="000C3B6C" w14:paraId="6C957AC9" w14:textId="77777777">
            <w:r w:rsidRPr="00C379C8">
              <w:t>Environmental Protection Authority (EPA)</w:t>
            </w:r>
          </w:p>
          <w:p w:rsidR="00EE3A11" w:rsidRPr="00C379C8" w:rsidP="000C3B6C" w14:paraId="3D945C2B" w14:textId="77777777">
            <w:r w:rsidRPr="00C379C8">
              <w:t>Level 1, Stewart Dawson's Corner</w:t>
            </w:r>
          </w:p>
          <w:p w:rsidR="00EE3A11" w:rsidRPr="00C379C8" w:rsidP="000C3B6C" w14:paraId="7FA0ADDE" w14:textId="77777777">
            <w:r w:rsidRPr="00C379C8">
              <w:t>366 Lambton Quay</w:t>
            </w:r>
          </w:p>
          <w:p w:rsidR="00EE3A11" w:rsidRPr="00C379C8" w:rsidP="000C3B6C" w14:paraId="523B0C18" w14:textId="77777777">
            <w:r w:rsidRPr="00C379C8">
              <w:t>Wellington 6011</w:t>
            </w:r>
          </w:p>
          <w:p w:rsidR="00EE3A11" w:rsidRPr="00C379C8" w:rsidP="000C3B6C" w14:paraId="3E4BC4AB" w14:textId="77777777">
            <w:r w:rsidRPr="00C379C8">
              <w:t>New Zealand</w:t>
            </w:r>
          </w:p>
          <w:p w:rsidR="00EE3A11" w:rsidRPr="00C379C8" w:rsidP="000C3B6C" w14:paraId="7BC4A6B0" w14:textId="77777777">
            <w:r w:rsidRPr="00C379C8">
              <w:t>Ph: +64 4 916 2426</w:t>
            </w:r>
          </w:p>
          <w:p w:rsidR="00EE3A11" w:rsidRPr="00C379C8" w:rsidP="000C3B6C" w14:paraId="423BB495" w14:textId="77777777">
            <w:pPr>
              <w:spacing w:after="120"/>
            </w:pPr>
            <w:r w:rsidRPr="00C379C8">
              <w:t xml:space="preserve">Email: </w:t>
            </w:r>
            <w:hyperlink r:id="rId6" w:history="1">
              <w:r w:rsidRPr="00C379C8">
                <w:rPr>
                  <w:color w:val="0000FF"/>
                  <w:u w:val="single"/>
                </w:rPr>
                <w:t>Reassessments@epa.govt.nz</w:t>
              </w:r>
            </w:hyperlink>
          </w:p>
        </w:tc>
      </w:tr>
      <w:tr w14:paraId="29F2A007" w14:textId="77777777" w:rsidTr="00DB13FE">
        <w:tblPrEx>
          <w:tblW w:w="5000" w:type="pct"/>
          <w:tblLayout w:type="fixed"/>
          <w:tblLook w:val="0000"/>
        </w:tblPrEx>
        <w:tc>
          <w:tcPr>
            <w:tcW w:w="607" w:type="dxa"/>
          </w:tcPr>
          <w:p w:rsidR="00F85C99" w:rsidRPr="002F6A28" w:rsidP="002F6A28" w14:paraId="12C74D9C" w14:textId="77777777">
            <w:pPr>
              <w:spacing w:before="120" w:after="120"/>
              <w:jc w:val="left"/>
              <w:rPr>
                <w:b/>
              </w:rPr>
            </w:pPr>
            <w:r w:rsidRPr="002F6A28">
              <w:rPr>
                <w:b/>
              </w:rPr>
              <w:t>3.</w:t>
            </w:r>
          </w:p>
        </w:tc>
        <w:tc>
          <w:tcPr>
            <w:tcW w:w="8373" w:type="dxa"/>
          </w:tcPr>
          <w:p w:rsidR="00F85C99" w:rsidRPr="0058336F" w:rsidP="002F6A28" w14:paraId="02F91DA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FBB8530" w14:textId="77777777" w:rsidTr="00DB13FE">
        <w:tblPrEx>
          <w:tblW w:w="5000" w:type="pct"/>
          <w:tblLayout w:type="fixed"/>
          <w:tblLook w:val="0000"/>
        </w:tblPrEx>
        <w:tc>
          <w:tcPr>
            <w:tcW w:w="607" w:type="dxa"/>
          </w:tcPr>
          <w:p w:rsidR="00F85C99" w:rsidRPr="002F6A28" w:rsidP="002F6A28" w14:paraId="5BF1EDA8" w14:textId="77777777">
            <w:pPr>
              <w:spacing w:before="120" w:after="120"/>
              <w:jc w:val="left"/>
            </w:pPr>
            <w:r w:rsidRPr="002F6A28">
              <w:rPr>
                <w:b/>
              </w:rPr>
              <w:t>4.</w:t>
            </w:r>
          </w:p>
        </w:tc>
        <w:tc>
          <w:tcPr>
            <w:tcW w:w="8373" w:type="dxa"/>
          </w:tcPr>
          <w:p w:rsidR="00F85C99" w:rsidRPr="002F6A28" w:rsidP="002F6A28" w14:paraId="6B3730F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Paint (under heading 3208 and 3209)</w:t>
            </w:r>
          </w:p>
          <w:p w:rsidR="00EE3A11" w:rsidRPr="00C379C8" w:rsidP="002F6A28" w14:paraId="3F5DE233" w14:textId="77777777">
            <w:pPr>
              <w:spacing w:before="120" w:after="120"/>
            </w:pPr>
            <w:r w:rsidRPr="00C379C8">
              <w:t>Graphic materials (under heading 9608 and 9609)</w:t>
            </w:r>
          </w:p>
        </w:tc>
      </w:tr>
      <w:tr w14:paraId="58AD01D1" w14:textId="77777777" w:rsidTr="00DB13FE">
        <w:tblPrEx>
          <w:tblW w:w="5000" w:type="pct"/>
          <w:tblLayout w:type="fixed"/>
          <w:tblLook w:val="0000"/>
        </w:tblPrEx>
        <w:tc>
          <w:tcPr>
            <w:tcW w:w="607" w:type="dxa"/>
          </w:tcPr>
          <w:p w:rsidR="00F85C99" w:rsidRPr="002F6A28" w:rsidP="002F6A28" w14:paraId="27F140EE" w14:textId="77777777">
            <w:pPr>
              <w:spacing w:before="120" w:after="120"/>
              <w:jc w:val="left"/>
            </w:pPr>
            <w:r w:rsidRPr="002F6A28">
              <w:rPr>
                <w:b/>
              </w:rPr>
              <w:t>5.</w:t>
            </w:r>
          </w:p>
        </w:tc>
        <w:tc>
          <w:tcPr>
            <w:tcW w:w="8373" w:type="dxa"/>
          </w:tcPr>
          <w:p w:rsidR="00F85C99" w:rsidP="002F6A28" w14:paraId="6D54B0A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Graphic Materials Group Standard amendment – consultation document – APP205008; (35 page(s), in English)</w:t>
            </w:r>
          </w:p>
          <w:p w:rsidR="000C3B6C" w:rsidRPr="000C3B6C" w:rsidP="002F6A28" w14:paraId="650A718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652E7" w:rsidRPr="00CE6C29" w:rsidP="002F6A28" w14:paraId="5CB226FA" w14:textId="77777777">
            <w:pPr>
              <w:rPr>
                <w:iCs/>
              </w:rPr>
            </w:pPr>
            <w:r w:rsidRPr="00CE6C29">
              <w:rPr>
                <w:iCs/>
              </w:rPr>
              <w:t>General information regarding the EPA's proposals is available here:</w:t>
            </w:r>
          </w:p>
          <w:p w:rsidR="004652E7" w:rsidRPr="00CE6C29" w:rsidP="002F6A28" w14:paraId="398E23FB" w14:textId="77777777">
            <w:pPr>
              <w:rPr>
                <w:iCs/>
              </w:rPr>
            </w:pPr>
            <w:hyperlink r:id="rId7" w:tgtFrame="_blank" w:history="1">
              <w:r w:rsidRPr="00CE6C29">
                <w:rPr>
                  <w:iCs/>
                  <w:color w:val="0000FF"/>
                  <w:u w:val="single"/>
                </w:rPr>
                <w:t>https://www.epa.govt.nz/public-consultations/open-consultations/proposed-amendments-to-the-graphic-materials-group-standard/</w:t>
              </w:r>
            </w:hyperlink>
          </w:p>
          <w:p w:rsidR="004652E7" w:rsidRPr="00CE6C29" w:rsidP="002F6A28" w14:paraId="1D0721E3" w14:textId="77777777">
            <w:pPr>
              <w:rPr>
                <w:iCs/>
              </w:rPr>
            </w:pPr>
            <w:r w:rsidRPr="00CE6C29">
              <w:rPr>
                <w:iCs/>
              </w:rPr>
              <w:t>All documents relating to this proposal are available here:</w:t>
            </w:r>
          </w:p>
          <w:p w:rsidR="004652E7" w:rsidRPr="00CE6C29" w:rsidP="002F6A28" w14:paraId="35ABC2CE" w14:textId="77777777">
            <w:pPr>
              <w:rPr>
                <w:iCs/>
              </w:rPr>
            </w:pPr>
            <w:hyperlink r:id="rId8" w:tgtFrame="_blank" w:history="1">
              <w:r w:rsidRPr="00CE6C29">
                <w:rPr>
                  <w:iCs/>
                  <w:color w:val="0000FF"/>
                  <w:u w:val="single"/>
                </w:rPr>
                <w:t>https://www.epa.govt.nz/database-search/hsno-application-register/view/APP205008/</w:t>
              </w:r>
            </w:hyperlink>
          </w:p>
          <w:p w:rsidR="004652E7" w:rsidRPr="00CE6C29" w:rsidP="002F6A28" w14:paraId="195D1B4D" w14:textId="77777777">
            <w:pPr>
              <w:rPr>
                <w:iCs/>
              </w:rPr>
            </w:pPr>
            <w:r w:rsidRPr="00CE6C29">
              <w:rPr>
                <w:iCs/>
              </w:rPr>
              <w:t>The proposal document is available at the following link:</w:t>
            </w:r>
          </w:p>
          <w:p w:rsidR="004652E7" w:rsidRPr="00CE6C29" w:rsidP="002F6A28" w14:paraId="23ED10DF" w14:textId="77777777">
            <w:pPr>
              <w:spacing w:after="120"/>
              <w:rPr>
                <w:iCs/>
              </w:rPr>
            </w:pPr>
            <w:hyperlink r:id="rId9" w:tgtFrame="_blank" w:history="1">
              <w:r w:rsidRPr="00CE6C29">
                <w:rPr>
                  <w:iCs/>
                  <w:color w:val="0000FF"/>
                  <w:u w:val="single"/>
                </w:rPr>
                <w:t>https://www.epa.govt.nz/assets/FileAPI/hsno-ar/APP205008/APP205008-Consultation-Document.pdf</w:t>
              </w:r>
            </w:hyperlink>
          </w:p>
        </w:tc>
      </w:tr>
      <w:tr w14:paraId="111F17C7" w14:textId="77777777" w:rsidTr="00DB13FE">
        <w:tblPrEx>
          <w:tblW w:w="5000" w:type="pct"/>
          <w:tblLayout w:type="fixed"/>
          <w:tblLook w:val="0000"/>
        </w:tblPrEx>
        <w:tc>
          <w:tcPr>
            <w:tcW w:w="607" w:type="dxa"/>
          </w:tcPr>
          <w:p w:rsidR="00F85C99" w:rsidRPr="002F6A28" w:rsidP="002F6A28" w14:paraId="002BA1B8" w14:textId="77777777">
            <w:pPr>
              <w:spacing w:before="120" w:after="120"/>
              <w:jc w:val="left"/>
              <w:rPr>
                <w:b/>
              </w:rPr>
            </w:pPr>
            <w:r w:rsidRPr="002F6A28">
              <w:rPr>
                <w:b/>
              </w:rPr>
              <w:t>6.</w:t>
            </w:r>
          </w:p>
        </w:tc>
        <w:tc>
          <w:tcPr>
            <w:tcW w:w="8373" w:type="dxa"/>
          </w:tcPr>
          <w:p w:rsidR="00F85C99" w:rsidRPr="002F6A28" w:rsidP="002F6A28" w14:paraId="24E7CDD0" w14:textId="77777777">
            <w:pPr>
              <w:spacing w:before="120" w:after="120"/>
              <w:rPr>
                <w:b/>
              </w:rPr>
            </w:pPr>
            <w:r w:rsidRPr="002F6A28">
              <w:rPr>
                <w:b/>
              </w:rPr>
              <w:t>Description of content:</w:t>
            </w:r>
            <w:r w:rsidRPr="00C379C8" w:rsidR="00FE448B">
              <w:t xml:space="preserve"> The New Zealand Environmental Protection Authority (EPA) is proposing to amend the Graphic Materials Group Standard 2020:</w:t>
            </w:r>
          </w:p>
          <w:p w:rsidR="00FE448B" w:rsidRPr="00C379C8" w:rsidP="002F6A28" w14:paraId="6BCF605B" w14:textId="77777777">
            <w:pPr>
              <w:numPr>
                <w:ilvl w:val="0"/>
                <w:numId w:val="16"/>
              </w:numPr>
              <w:spacing w:before="120" w:after="120"/>
            </w:pPr>
            <w:r w:rsidRPr="00C379C8">
              <w:t>We propose to amend the definition of child for the purposes of the group standard (from 0 to 12 years) to 0 to up to 8 years.</w:t>
            </w:r>
          </w:p>
          <w:p w:rsidR="00FE448B" w:rsidRPr="00C379C8" w:rsidP="002F6A28" w14:paraId="0DB06957" w14:textId="77777777">
            <w:pPr>
              <w:numPr>
                <w:ilvl w:val="0"/>
                <w:numId w:val="16"/>
              </w:numPr>
              <w:spacing w:before="120" w:after="120"/>
            </w:pPr>
            <w:r w:rsidRPr="00C379C8">
              <w:t>We propose to amend the definition of graphic materials in the group standard to exclude negligible risk items such as pens and pencils, so these graphic materials are no longer regulated under HSNO.</w:t>
            </w:r>
          </w:p>
          <w:p w:rsidR="00FE448B" w:rsidRPr="00C379C8" w:rsidP="002F6A28" w14:paraId="43C5DFD5" w14:textId="77777777">
            <w:pPr>
              <w:numPr>
                <w:ilvl w:val="0"/>
                <w:numId w:val="16"/>
              </w:numPr>
              <w:spacing w:before="120" w:after="120"/>
            </w:pPr>
            <w:r w:rsidRPr="00C379C8">
              <w:t>We propose to amend the wording in the scope (clause 4) to explicitly state that the group standard applies to products that do not trigger a hazard classification but contain one or more hazardous ingredients.</w:t>
            </w:r>
          </w:p>
          <w:p w:rsidR="00FE448B" w:rsidRPr="00C379C8" w:rsidP="002F6A28" w14:paraId="1928D52F" w14:textId="77777777">
            <w:pPr>
              <w:numPr>
                <w:ilvl w:val="0"/>
                <w:numId w:val="16"/>
              </w:numPr>
              <w:spacing w:before="120" w:after="120"/>
            </w:pPr>
            <w:r w:rsidRPr="00C379C8">
              <w:t>We propose that a substance can be assigned to the group standard if it is classified for a human health hazard in New Zealand only because New Zealand uses lower GHS cut-off thresholds for mixtures. This would only apply where the same substance would not be classified by recognised international regulators</w:t>
            </w:r>
          </w:p>
          <w:p w:rsidR="00FE448B" w:rsidRPr="00C379C8" w:rsidP="002F6A28" w14:paraId="4E8727A4" w14:textId="77777777">
            <w:pPr>
              <w:numPr>
                <w:ilvl w:val="0"/>
                <w:numId w:val="16"/>
              </w:numPr>
              <w:spacing w:before="120" w:after="120"/>
            </w:pPr>
            <w:r w:rsidRPr="00C379C8">
              <w:t>We propose that graphic materials that trigger a hazard classification in New Zealand only because New Zealand applies lower GHS cut-off thresholds for mixtures are exempt from complying with the Labelling Notice, where the same materials would not be classified by recognised international regulators.</w:t>
            </w:r>
          </w:p>
          <w:p w:rsidR="00FE448B" w:rsidRPr="00C379C8" w:rsidP="002F6A28" w14:paraId="3208A7EE" w14:textId="77777777">
            <w:pPr>
              <w:spacing w:before="120" w:after="120"/>
            </w:pPr>
            <w:r w:rsidRPr="00C379C8">
              <w:t>We propose that graphic materials that trigger a hazard classification in New Zealand only because New Zealand applies lower GHS cut-off thresholds for mixtures are exempt from complying with the SDS Notice, where the same materials would not be classified by recognised international regulators.</w:t>
            </w:r>
          </w:p>
        </w:tc>
      </w:tr>
      <w:tr w14:paraId="1599F083" w14:textId="77777777" w:rsidTr="00DB13FE">
        <w:tblPrEx>
          <w:tblW w:w="5000" w:type="pct"/>
          <w:tblLayout w:type="fixed"/>
          <w:tblLook w:val="0000"/>
        </w:tblPrEx>
        <w:tc>
          <w:tcPr>
            <w:tcW w:w="607" w:type="dxa"/>
          </w:tcPr>
          <w:p w:rsidR="00F85C99" w:rsidRPr="002F6A28" w:rsidP="002F6A28" w14:paraId="70DFD740" w14:textId="77777777">
            <w:pPr>
              <w:spacing w:before="120" w:after="120"/>
              <w:jc w:val="left"/>
              <w:rPr>
                <w:b/>
              </w:rPr>
            </w:pPr>
            <w:r w:rsidRPr="002F6A28">
              <w:rPr>
                <w:b/>
              </w:rPr>
              <w:t>7.</w:t>
            </w:r>
          </w:p>
        </w:tc>
        <w:tc>
          <w:tcPr>
            <w:tcW w:w="8373" w:type="dxa"/>
          </w:tcPr>
          <w:p w:rsidR="00F85C99" w:rsidRPr="002F6A28" w:rsidP="002F6A28" w14:paraId="5651A7A9" w14:textId="77777777">
            <w:pPr>
              <w:spacing w:before="120" w:after="120"/>
              <w:rPr>
                <w:b/>
              </w:rPr>
            </w:pPr>
            <w:r w:rsidRPr="002F6A28">
              <w:rPr>
                <w:b/>
              </w:rPr>
              <w:t>Objective and rationale, including the nature of urgent problems where applicable:</w:t>
            </w:r>
            <w:r w:rsidRPr="00C379C8" w:rsidR="00EE3A11">
              <w:t xml:space="preserve"> The aim of these proposals is to clarify and make it easier to comply with the group standard.</w:t>
            </w:r>
          </w:p>
        </w:tc>
      </w:tr>
      <w:tr w14:paraId="51FE8F3C" w14:textId="77777777" w:rsidTr="00DB13FE">
        <w:tblPrEx>
          <w:tblW w:w="5000" w:type="pct"/>
          <w:tblLayout w:type="fixed"/>
          <w:tblLook w:val="0000"/>
        </w:tblPrEx>
        <w:tc>
          <w:tcPr>
            <w:tcW w:w="607" w:type="dxa"/>
          </w:tcPr>
          <w:p w:rsidR="00F85C99" w:rsidRPr="002F6A28" w:rsidP="009E75ED" w14:paraId="4DAC9D91" w14:textId="77777777">
            <w:pPr>
              <w:spacing w:before="120" w:after="120"/>
              <w:jc w:val="left"/>
              <w:rPr>
                <w:b/>
              </w:rPr>
            </w:pPr>
            <w:r w:rsidRPr="002F6A28">
              <w:rPr>
                <w:b/>
              </w:rPr>
              <w:t>8.</w:t>
            </w:r>
          </w:p>
        </w:tc>
        <w:tc>
          <w:tcPr>
            <w:tcW w:w="8373" w:type="dxa"/>
          </w:tcPr>
          <w:p w:rsidR="000C3B6C" w:rsidRPr="00EC00D2" w:rsidP="007F13E8" w14:paraId="7225A48E" w14:textId="77777777">
            <w:pPr>
              <w:spacing w:before="120" w:after="120"/>
              <w:rPr>
                <w:bCs/>
              </w:rPr>
            </w:pPr>
            <w:r w:rsidRPr="002F6A28">
              <w:rPr>
                <w:b/>
              </w:rPr>
              <w:t>Relevant documents:</w:t>
            </w:r>
            <w:r w:rsidRPr="002F6A28" w:rsidR="00EE3A11">
              <w:t xml:space="preserve"> </w:t>
            </w:r>
          </w:p>
          <w:p w:rsidR="00EE3A11" w:rsidRPr="002F6A28" w:rsidP="007F13E8" w14:paraId="2926D678" w14:textId="77777777">
            <w:pPr>
              <w:spacing w:before="120" w:after="120"/>
            </w:pPr>
            <w:r w:rsidRPr="002F6A28">
              <w:t>Graphic Materials Group Standard amendment – consultation document – APP205008, 35 pages, English</w:t>
            </w:r>
          </w:p>
        </w:tc>
      </w:tr>
      <w:tr w14:paraId="18AD38A8" w14:textId="77777777" w:rsidTr="00DB13FE">
        <w:tblPrEx>
          <w:tblW w:w="5000" w:type="pct"/>
          <w:tblLayout w:type="fixed"/>
          <w:tblLook w:val="0000"/>
        </w:tblPrEx>
        <w:tc>
          <w:tcPr>
            <w:tcW w:w="607" w:type="dxa"/>
          </w:tcPr>
          <w:p w:rsidR="00EE3A11" w:rsidRPr="002F6A28" w:rsidP="002F6A28" w14:paraId="2DC9E23D" w14:textId="77777777">
            <w:pPr>
              <w:spacing w:before="120" w:after="120"/>
              <w:jc w:val="left"/>
              <w:rPr>
                <w:b/>
              </w:rPr>
            </w:pPr>
            <w:r w:rsidRPr="002F6A28">
              <w:rPr>
                <w:b/>
              </w:rPr>
              <w:t>9.</w:t>
            </w:r>
          </w:p>
        </w:tc>
        <w:tc>
          <w:tcPr>
            <w:tcW w:w="8373" w:type="dxa"/>
          </w:tcPr>
          <w:p w:rsidR="00EE3A11" w:rsidRPr="002F6A28" w:rsidP="008953C4" w14:paraId="34F91826" w14:textId="77777777">
            <w:pPr>
              <w:spacing w:before="120" w:after="120"/>
            </w:pPr>
            <w:r w:rsidRPr="002F6A28">
              <w:rPr>
                <w:b/>
              </w:rPr>
              <w:t>Proposed date of adoption:</w:t>
            </w:r>
            <w:r w:rsidRPr="00C379C8">
              <w:t xml:space="preserve"> To be determined</w:t>
            </w:r>
          </w:p>
          <w:p w:rsidR="00EE3A11" w:rsidRPr="002F6A28" w:rsidP="008953C4" w14:paraId="5320496A" w14:textId="77777777">
            <w:pPr>
              <w:spacing w:after="120"/>
            </w:pPr>
            <w:r w:rsidRPr="002F6A28">
              <w:rPr>
                <w:b/>
              </w:rPr>
              <w:t>Proposed date of entry into force:</w:t>
            </w:r>
            <w:r w:rsidRPr="00C379C8">
              <w:t xml:space="preserve"> 6 months from adoption</w:t>
            </w:r>
          </w:p>
        </w:tc>
      </w:tr>
      <w:tr w14:paraId="3FDB83BB" w14:textId="77777777" w:rsidTr="00DB13FE">
        <w:tblPrEx>
          <w:tblW w:w="5000" w:type="pct"/>
          <w:tblLayout w:type="fixed"/>
          <w:tblLook w:val="0000"/>
        </w:tblPrEx>
        <w:tc>
          <w:tcPr>
            <w:tcW w:w="607" w:type="dxa"/>
            <w:tcBorders>
              <w:bottom w:val="double" w:sz="4" w:space="0" w:color="auto"/>
            </w:tcBorders>
          </w:tcPr>
          <w:p w:rsidR="00F85C99" w:rsidRPr="002F6A28" w:rsidP="002F6A28" w14:paraId="4863540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59A957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663B2D2" w14:textId="77777777">
            <w:pPr>
              <w:spacing w:before="120" w:after="120"/>
              <w:rPr>
                <w:bCs/>
              </w:rPr>
            </w:pPr>
            <w:r w:rsidRPr="002F6A28">
              <w:rPr>
                <w:b/>
              </w:rPr>
              <w:t>Final date for comments:</w:t>
            </w:r>
            <w:r w:rsidRPr="00C379C8" w:rsidR="00EE3A11">
              <w:t xml:space="preserve"> 27 September 2026</w:t>
            </w:r>
          </w:p>
          <w:p w:rsidR="000C3B6C" w:rsidRPr="00E3324D" w:rsidP="000C3B6C" w14:paraId="29CFE08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E67F4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3ACA804" w14:textId="77777777">
            <w:r w:rsidRPr="00CE6C29">
              <w:t>Environmental Protection Authority (EPA)</w:t>
            </w:r>
          </w:p>
          <w:p w:rsidR="00CE6C29" w:rsidRPr="00CE6C29" w:rsidP="000C3B6C" w14:paraId="41B6A5A0" w14:textId="77777777">
            <w:r w:rsidRPr="00CE6C29">
              <w:t>Level 1, Stewart Dawson's Corner</w:t>
            </w:r>
          </w:p>
          <w:p w:rsidR="00CE6C29" w:rsidRPr="00CE6C29" w:rsidP="000C3B6C" w14:paraId="16FCD4DA" w14:textId="77777777">
            <w:r w:rsidRPr="00CE6C29">
              <w:t>366 Lambton Quay</w:t>
            </w:r>
          </w:p>
          <w:p w:rsidR="00CE6C29" w:rsidRPr="00CE6C29" w:rsidP="000C3B6C" w14:paraId="7C7E6DFB" w14:textId="77777777">
            <w:r w:rsidRPr="00CE6C29">
              <w:t>Wellington 6011</w:t>
            </w:r>
          </w:p>
          <w:p w:rsidR="00CE6C29" w:rsidRPr="00CE6C29" w:rsidP="000C3B6C" w14:paraId="194E3EA1" w14:textId="77777777">
            <w:r w:rsidRPr="00CE6C29">
              <w:t>New Zealand</w:t>
            </w:r>
          </w:p>
          <w:p w:rsidR="00CE6C29" w:rsidRPr="00CE6C29" w:rsidP="000C3B6C" w14:paraId="69C5777C" w14:textId="77777777">
            <w:r w:rsidRPr="00CE6C29">
              <w:t>Ph: +64 4 916 2426</w:t>
            </w:r>
          </w:p>
          <w:p w:rsidR="00CE6C29" w:rsidRPr="00CE6C29" w:rsidP="000C3B6C" w14:paraId="5785B772" w14:textId="77777777">
            <w:pPr>
              <w:spacing w:after="120"/>
            </w:pPr>
            <w:r w:rsidRPr="00CE6C29">
              <w:t xml:space="preserve">Email: </w:t>
            </w:r>
            <w:hyperlink r:id="rId6" w:history="1">
              <w:r w:rsidRPr="00CE6C29">
                <w:rPr>
                  <w:color w:val="0000FF"/>
                  <w:u w:val="single"/>
                </w:rPr>
                <w:t>Reassessments@epa.govt.nz</w:t>
              </w:r>
            </w:hyperlink>
          </w:p>
        </w:tc>
      </w:tr>
    </w:tbl>
    <w:p w:rsidR="00EE3A11" w:rsidRPr="002F6A28" w:rsidP="00887259" w14:paraId="63596550"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BAE1B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05108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B8933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036A90" w14:textId="77777777">
    <w:pPr>
      <w:pStyle w:val="Header"/>
      <w:pBdr>
        <w:bottom w:val="single" w:sz="4" w:space="1" w:color="auto"/>
      </w:pBdr>
      <w:tabs>
        <w:tab w:val="clear" w:pos="4513"/>
        <w:tab w:val="clear" w:pos="9027"/>
      </w:tabs>
      <w:jc w:val="center"/>
    </w:pPr>
    <w:r w:rsidRPr="002F6A28">
      <w:t>tbtSymbol</w:t>
    </w:r>
  </w:p>
  <w:p w:rsidR="009239F7" w:rsidRPr="002F6A28" w:rsidP="009239F7" w14:paraId="2A1BFFAA" w14:textId="77777777">
    <w:pPr>
      <w:pStyle w:val="Header"/>
      <w:pBdr>
        <w:bottom w:val="single" w:sz="4" w:space="1" w:color="auto"/>
      </w:pBdr>
      <w:tabs>
        <w:tab w:val="clear" w:pos="4513"/>
        <w:tab w:val="clear" w:pos="9027"/>
      </w:tabs>
      <w:jc w:val="center"/>
    </w:pPr>
  </w:p>
  <w:p w:rsidR="009239F7" w:rsidRPr="002F6A28" w:rsidP="009239F7" w14:paraId="0F2BDF3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1F459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C9D553" w14:textId="77777777">
    <w:pPr>
      <w:pStyle w:val="Header"/>
      <w:pBdr>
        <w:bottom w:val="single" w:sz="4" w:space="1" w:color="auto"/>
      </w:pBdr>
      <w:tabs>
        <w:tab w:val="clear" w:pos="4513"/>
        <w:tab w:val="clear" w:pos="9027"/>
      </w:tabs>
      <w:jc w:val="center"/>
    </w:pPr>
    <w:bookmarkStart w:id="0" w:name="spsSymbolHeader"/>
    <w:r w:rsidRPr="002F6A28">
      <w:t>G/TBT/N/NZL/155</w:t>
    </w:r>
    <w:bookmarkEnd w:id="0"/>
  </w:p>
  <w:p w:rsidR="009239F7" w:rsidRPr="002F6A28" w:rsidP="009239F7" w14:paraId="1709B57C" w14:textId="77777777">
    <w:pPr>
      <w:pStyle w:val="Header"/>
      <w:pBdr>
        <w:bottom w:val="single" w:sz="4" w:space="1" w:color="auto"/>
      </w:pBdr>
      <w:tabs>
        <w:tab w:val="clear" w:pos="4513"/>
        <w:tab w:val="clear" w:pos="9027"/>
      </w:tabs>
      <w:jc w:val="center"/>
    </w:pPr>
  </w:p>
  <w:p w:rsidR="009239F7" w:rsidRPr="002F6A28" w:rsidP="009239F7" w14:paraId="6A8411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7AD3CF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3476C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CD9A1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39C4C9F" w14:textId="77777777">
          <w:pPr>
            <w:jc w:val="right"/>
            <w:rPr>
              <w:b/>
              <w:color w:val="FF0000"/>
              <w:szCs w:val="16"/>
            </w:rPr>
          </w:pPr>
        </w:p>
      </w:tc>
    </w:tr>
    <w:bookmarkEnd w:id="1"/>
    <w:tr w14:paraId="39EEB9A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BDBCC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300349A" w14:textId="77777777">
          <w:pPr>
            <w:jc w:val="right"/>
            <w:rPr>
              <w:b/>
              <w:szCs w:val="16"/>
            </w:rPr>
          </w:pPr>
        </w:p>
      </w:tc>
    </w:tr>
    <w:tr w14:paraId="3DDCF38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655475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9E8EE6" w14:textId="77777777">
          <w:pPr>
            <w:jc w:val="right"/>
            <w:rPr>
              <w:b/>
              <w:szCs w:val="16"/>
            </w:rPr>
          </w:pPr>
          <w:bookmarkStart w:id="2" w:name="bmkSymbols"/>
          <w:r w:rsidRPr="002F6A28">
            <w:rPr>
              <w:b/>
              <w:szCs w:val="16"/>
            </w:rPr>
            <w:t>G/TBT/N/NZL/155</w:t>
          </w:r>
          <w:bookmarkEnd w:id="2"/>
        </w:p>
      </w:tc>
    </w:tr>
    <w:tr w14:paraId="2ACE696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778A69" w14:textId="77777777"/>
      </w:tc>
      <w:tc>
        <w:tcPr>
          <w:tcW w:w="5448" w:type="dxa"/>
          <w:gridSpan w:val="2"/>
          <w:shd w:val="clear" w:color="auto" w:fill="FFFFFF"/>
          <w:tcMar>
            <w:left w:w="108" w:type="dxa"/>
            <w:right w:w="108" w:type="dxa"/>
          </w:tcMar>
          <w:vAlign w:val="center"/>
        </w:tcPr>
        <w:p w:rsidR="00ED54E0" w:rsidRPr="009239F7" w:rsidP="00B801E9" w14:paraId="6505CE76" w14:textId="77777777">
          <w:pPr>
            <w:jc w:val="right"/>
            <w:rPr>
              <w:szCs w:val="16"/>
            </w:rPr>
          </w:pPr>
          <w:bookmarkStart w:id="3" w:name="spsDateDistribution"/>
          <w:bookmarkStart w:id="4" w:name="bmkDate"/>
          <w:r w:rsidRPr="009239F7">
            <w:rPr>
              <w:szCs w:val="16"/>
            </w:rPr>
            <w:t>29 July 2026</w:t>
          </w:r>
          <w:bookmarkEnd w:id="3"/>
          <w:bookmarkEnd w:id="4"/>
        </w:p>
      </w:tc>
    </w:tr>
    <w:tr w14:paraId="49024A2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BAF24EF" w14:textId="77777777">
          <w:pPr>
            <w:jc w:val="left"/>
            <w:rPr>
              <w:b/>
            </w:rPr>
          </w:pPr>
          <w:bookmarkStart w:id="5" w:name="bmkSerial"/>
          <w:r>
            <w:rPr>
              <w:rFonts w:ascii="Verdana" w:eastAsia="Verdana" w:hAnsi="Verdana" w:cs="Verdana"/>
              <w:b w:val="0"/>
              <w:color w:val="FF0000"/>
              <w:sz w:val="18"/>
            </w:rPr>
            <w:t>(26-5433)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28B05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78DAE1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E2C13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1BEE3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15C45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0190338">
    <w:abstractNumId w:val="9"/>
  </w:num>
  <w:num w:numId="2" w16cid:durableId="775715752">
    <w:abstractNumId w:val="7"/>
  </w:num>
  <w:num w:numId="3" w16cid:durableId="1941522189">
    <w:abstractNumId w:val="6"/>
  </w:num>
  <w:num w:numId="4" w16cid:durableId="1583644664">
    <w:abstractNumId w:val="5"/>
  </w:num>
  <w:num w:numId="5" w16cid:durableId="1408772926">
    <w:abstractNumId w:val="4"/>
  </w:num>
  <w:num w:numId="6" w16cid:durableId="1364525365">
    <w:abstractNumId w:val="12"/>
  </w:num>
  <w:num w:numId="7" w16cid:durableId="1794396570">
    <w:abstractNumId w:val="11"/>
  </w:num>
  <w:num w:numId="8" w16cid:durableId="2016759124">
    <w:abstractNumId w:val="10"/>
  </w:num>
  <w:num w:numId="9" w16cid:durableId="2093044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8820286">
    <w:abstractNumId w:val="13"/>
  </w:num>
  <w:num w:numId="11" w16cid:durableId="746809572">
    <w:abstractNumId w:val="8"/>
  </w:num>
  <w:num w:numId="12" w16cid:durableId="1511529217">
    <w:abstractNumId w:val="3"/>
  </w:num>
  <w:num w:numId="13" w16cid:durableId="509952524">
    <w:abstractNumId w:val="2"/>
  </w:num>
  <w:num w:numId="14" w16cid:durableId="1830319814">
    <w:abstractNumId w:val="1"/>
  </w:num>
  <w:num w:numId="15" w16cid:durableId="1079908492">
    <w:abstractNumId w:val="0"/>
  </w:num>
  <w:num w:numId="16" w16cid:durableId="10666840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0672C"/>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52E7"/>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0EE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15A9"/>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A8353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Reassessments@epa.govt.nz" TargetMode="External" /><Relationship Id="rId7" Type="http://schemas.openxmlformats.org/officeDocument/2006/relationships/hyperlink" Target="https://www.epa.govt.nz/public-consultations/open-consultations/proposed-amendments-to-the-graphic-materials-group-standard/" TargetMode="External" /><Relationship Id="rId8" Type="http://schemas.openxmlformats.org/officeDocument/2006/relationships/hyperlink" Target="https://www.epa.govt.nz/database-search/hsno-application-register/view/APP205008/" TargetMode="External" /><Relationship Id="rId9" Type="http://schemas.openxmlformats.org/officeDocument/2006/relationships/hyperlink" Target="https://www.epa.govt.nz/assets/FileAPI/hsno-ar/APP205008/APP205008-Consultation-Document.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5958D6B-5BEA-41A6-9659-81BE42DE3A0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2026-07-29T10:54:00Z</dcterms:created>
  <dcterms:modified xsi:type="dcterms:W3CDTF">2026-07-29T10:54:00Z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