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7E37C771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3CEB438B" w14:textId="77777777">
      <w:pPr>
        <w:pStyle w:val="Title3"/>
      </w:pPr>
      <w:r w:rsidRPr="007C4C36">
        <w:t>Corrigendum</w:t>
      </w:r>
    </w:p>
    <w:p w:rsidR="007141CF" w:rsidRPr="007C4C36" w:rsidP="007C4C36" w14:paraId="288B1153" w14:textId="77777777">
      <w:r w:rsidRPr="007C4C36">
        <w:t xml:space="preserve">The following communication, dated 27 July 2026, is being circulated at the request of the delegation of </w:t>
      </w:r>
      <w:r w:rsidRPr="007C4C36">
        <w:rPr>
          <w:u w:val="single"/>
        </w:rPr>
        <w:t>Rwanda</w:t>
      </w:r>
      <w:r w:rsidRPr="007C4C36">
        <w:t>.</w:t>
      </w:r>
    </w:p>
    <w:p w:rsidR="004E22AE" w:rsidRPr="007C4C36" w:rsidP="007C4C36" w14:paraId="7A247138" w14:textId="77777777"/>
    <w:p w:rsidR="004E22AE" w:rsidRPr="007C4C36" w:rsidP="007C4C36" w14:paraId="631869E7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3AA3A6CC" w14:textId="77777777"/>
    <w:p w:rsidR="00D36ADA" w:rsidP="00D36ADA" w14:paraId="3342BED2" w14:textId="77777777">
      <w:pPr>
        <w:spacing w:after="120"/>
      </w:pPr>
      <w:r>
        <w:rPr>
          <w:u w:val="single"/>
        </w:rPr>
        <w:t>DRS 607-1:2025, Gully tops and manhole tops for vehicular and pedestrian areas — Specification — Part 1: Classification, general design and performance requirements.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53AED68F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229F488C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4AD18BE3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756A1286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01559213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3BAFE352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63F06B04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19465ECF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57A6298D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65B09C80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4370C0ED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3FD3E0B7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1C94DDD1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160E5B5E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3E60B5D4" w14:textId="77777777">
      <w:pPr>
        <w:rPr>
          <w:b/>
          <w:bCs/>
        </w:rPr>
      </w:pPr>
    </w:p>
    <w:p w:rsidR="00D36ADA" w:rsidRPr="007E15FC" w:rsidP="00D36ADA" w14:paraId="1F2C6EB1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069F4CA1" w14:textId="77777777"/>
    <w:p w:rsidR="004E22AE" w:rsidRPr="007C4C36" w:rsidP="002964E7" w14:paraId="284B652D" w14:textId="77777777">
      <w:pPr>
        <w:pStyle w:val="BodyText"/>
      </w:pPr>
      <w:r w:rsidRPr="007C4C36">
        <w:t>The right scope of the notified document for clarity:</w:t>
      </w:r>
    </w:p>
    <w:p w:rsidR="00451FCF" w:rsidP="003601C0" w14:paraId="6F753B06" w14:textId="77777777">
      <w:pPr>
        <w:spacing w:before="120" w:after="120"/>
      </w:pPr>
      <w:r w:rsidRPr="007C4C36">
        <w:t>This Draft Rwanda Standard specifies classification, general design, performance requirements and test methods for gully tops and manhole tops.</w:t>
      </w:r>
    </w:p>
    <w:p w:rsidR="00451FCF" w:rsidP="003601C0" w14:paraId="7F66408C" w14:textId="77777777">
      <w:pPr>
        <w:spacing w:before="120" w:after="120"/>
      </w:pPr>
      <w:r w:rsidRPr="007C4C36">
        <w:t>It applies for manhole tops and gully tops with a clear opening up to and including 1 000 mm for installation within areas subjected to pedestrian and/or vehicular traffic.</w:t>
      </w:r>
    </w:p>
    <w:p w:rsidR="00451FCF" w:rsidP="003601C0" w14:paraId="10C7464E" w14:textId="77777777">
      <w:pPr>
        <w:spacing w:before="120" w:after="120"/>
      </w:pPr>
      <w:r w:rsidRPr="007C4C36">
        <w:t>This standard is not applicable to gratings as part of prefabricated drainage channels, floor and roof gullies in buildings and surface boxes.</w:t>
      </w:r>
    </w:p>
    <w:p w:rsidR="004E22AE" w:rsidRPr="007C4C36" w:rsidP="003601C0" w14:paraId="47E0D329" w14:textId="77777777">
      <w:pPr>
        <w:spacing w:before="120" w:after="120"/>
      </w:pPr>
      <w:r w:rsidRPr="007C4C36">
        <w:t>NOTE This Part 1 of DRS 607 is not applicable in isolation, but only in combination with DRS 607-2, DRS 607-3, DRS 607-4, DRS 607-5 and DRS 607-6.</w:t>
      </w:r>
    </w:p>
    <w:p w:rsidR="00451FCF" w:rsidP="002964E7" w14:paraId="1711A7E9" w14:textId="77777777">
      <w:pPr>
        <w:pStyle w:val="BodyText"/>
      </w:pPr>
      <w:r>
        <w:t>The correct notified document is</w:t>
      </w:r>
      <w:r w:rsidR="002964E7">
        <w:t xml:space="preserve"> contained in:</w:t>
      </w:r>
    </w:p>
    <w:p w:rsidR="004E22AE" w:rsidRPr="007C4C36" w:rsidP="003601C0" w14:paraId="1B634B39" w14:textId="77777777">
      <w:pPr>
        <w:spacing w:after="120"/>
      </w:pPr>
      <w:hyperlink r:id="rId6" w:history="1">
        <w:r w:rsidRPr="006C25A3">
          <w:rPr>
            <w:rStyle w:val="Hyperlink"/>
          </w:rPr>
          <w:t>https://members.wto.org/crnattachm</w:t>
        </w:r>
        <w:r w:rsidRPr="006C25A3">
          <w:rPr>
            <w:rStyle w:val="Hyperlink"/>
          </w:rPr>
          <w:t>e</w:t>
        </w:r>
        <w:r w:rsidRPr="006C25A3">
          <w:rPr>
            <w:rStyle w:val="Hyperlink"/>
          </w:rPr>
          <w:t>nts/2026/TBT/RWA/26_03917_00_e.pdf</w:t>
        </w:r>
      </w:hyperlink>
    </w:p>
    <w:p w:rsidR="00333333" w:rsidP="009A7326" w14:paraId="4B497850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5C996E27" w14:textId="77777777">
      <w:pPr>
        <w:jc w:val="center"/>
        <w:rPr>
          <w:b/>
        </w:rPr>
      </w:pPr>
    </w:p>
    <w:p w:rsidR="00491829" w:rsidRPr="007C4C36" w:rsidP="007C4C36" w14:paraId="0523A6E3" w14:textId="77777777">
      <w:pPr>
        <w:jc w:val="center"/>
        <w:rPr>
          <w:b/>
        </w:rPr>
      </w:pPr>
    </w:p>
    <w:sectPr w:rsidSect="008E3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4943E2B2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191BBFD0" w14:textId="77777777">
    <w:pPr>
      <w:pStyle w:val="Footer"/>
    </w:pPr>
    <w:r w:rsidRPr="007C4C36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3A8BB9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1D68E0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5B874C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7089499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3F0104" w:rsidP="004E22AE" w14:paraId="793DC4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bookmarkStart w:id="0" w:name="spsSymbolHeader"/>
    <w:r w:rsidRPr="003F0104">
      <w:rPr>
        <w:lang w:val="pt-BR"/>
      </w:rPr>
      <w:t>G/TBT/N/RWA/1462/Corr.1</w:t>
    </w:r>
    <w:bookmarkEnd w:id="0"/>
  </w:p>
  <w:p w:rsidR="004E22AE" w:rsidRPr="003F0104" w:rsidP="004E22AE" w14:paraId="51A40B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:rsidR="004E22AE" w:rsidRPr="007C4C36" w:rsidP="004E22AE" w14:paraId="1D6902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60908AD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6EDF91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33470A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7DD2FE3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6FD0ED2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12838D0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5BC606BB" w14:textId="77777777">
          <w:pPr>
            <w:jc w:val="right"/>
            <w:rPr>
              <w:b/>
              <w:szCs w:val="16"/>
            </w:rPr>
          </w:pPr>
        </w:p>
      </w:tc>
    </w:tr>
    <w:tr w14:paraId="0C3F934F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452E74C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3F0104" w:rsidP="004E22AE" w14:paraId="224355CE" w14:textId="77777777">
          <w:pPr>
            <w:jc w:val="right"/>
            <w:rPr>
              <w:b/>
              <w:szCs w:val="16"/>
              <w:lang w:val="pt-BR"/>
            </w:rPr>
          </w:pPr>
          <w:bookmarkStart w:id="2" w:name="bmkSymbols"/>
          <w:r w:rsidRPr="003F0104">
            <w:rPr>
              <w:b/>
              <w:szCs w:val="16"/>
              <w:lang w:val="pt-BR"/>
            </w:rPr>
            <w:t>G/TBT/N/RWA/1462/Corr.1</w:t>
          </w:r>
          <w:bookmarkEnd w:id="2"/>
        </w:p>
      </w:tc>
    </w:tr>
    <w:tr w14:paraId="70BAC2BE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F0104" w:rsidP="000F4B07" w14:paraId="7E02FE82" w14:textId="77777777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53EAC60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27 July 2026</w:t>
          </w:r>
          <w:bookmarkEnd w:id="3"/>
          <w:bookmarkEnd w:id="4"/>
        </w:p>
      </w:tc>
    </w:tr>
    <w:tr w14:paraId="5FE88CC0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47CDDD9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(26-5362)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3FBA0F44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72E0E079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776C94E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1B99B5D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7C4C36" w14:paraId="3810821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C4E6482"/>
    <w:name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ascii="Verdana" w:eastAsia="Times New Roman" w:hAnsi="Verdana" w:cs="Times New Roman" w:hint="default"/>
        <w:b/>
        <w:bCs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snapToGrid/>
        <w:vanish w:val="0"/>
        <w:color w:val="006283"/>
        <w:spacing w:val="0"/>
        <w:w w:val="100"/>
        <w:kern w:val="0"/>
        <w:position w:val="0"/>
        <w:sz w:val="18"/>
        <w:szCs w:val="28"/>
        <w:u w:val="none"/>
        <w:effect w:val="none"/>
        <w:vertAlign w:val="baseline"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ascii="Verdana" w:eastAsia="Times New Roman" w:hAnsi="Verdana"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/>
        <w:vanish w:val="0"/>
        <w:color w:val="006283"/>
        <w:spacing w:val="0"/>
        <w:w w:val="100"/>
        <w:kern w:val="0"/>
        <w:position w:val="0"/>
        <w:sz w:val="18"/>
        <w:szCs w:val="26"/>
        <w:u w:val="none"/>
        <w:effect w:val="none"/>
        <w:vertAlign w:val="baseline"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ascii="Verdana" w:eastAsia="Times New Roman" w:hAnsi="Verdana"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/>
        <w:vanish w:val="0"/>
        <w:color w:val="006283"/>
        <w:spacing w:val="0"/>
        <w:w w:val="100"/>
        <w:kern w:val="0"/>
        <w:position w:val="0"/>
        <w:sz w:val="18"/>
        <w:szCs w:val="22"/>
        <w:u w:val="none"/>
        <w:effect w:val="none"/>
        <w:vertAlign w:val="baseline"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ascii="Verdana" w:eastAsia="Times New Roman" w:hAnsi="Verdana" w:cs="Times New Roman" w:hint="default"/>
        <w:b/>
        <w:bCs/>
        <w:i w:val="0"/>
        <w:iCs/>
        <w:caps w:val="0"/>
        <w:smallCaps w:val="0"/>
        <w:strike w:val="0"/>
        <w:dstrike w:val="0"/>
        <w:outline w:val="0"/>
        <w:shadow w:val="0"/>
        <w:emboss w:val="0"/>
        <w:imprint w:val="0"/>
        <w:snapToGrid/>
        <w:vanish w:val="0"/>
        <w:color w:val="006283"/>
        <w:spacing w:val="0"/>
        <w:w w:val="100"/>
        <w:kern w:val="0"/>
        <w:position w:val="0"/>
        <w:sz w:val="18"/>
        <w:szCs w:val="22"/>
        <w:u w:val="none"/>
        <w:effect w:val="none"/>
        <w:vertAlign w:val="baseline"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ascii="Verdana" w:eastAsia="Times New Roman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/>
        <w:vanish w:val="0"/>
        <w:color w:val="006283"/>
        <w:spacing w:val="0"/>
        <w:w w:val="100"/>
        <w:kern w:val="0"/>
        <w:position w:val="0"/>
        <w:sz w:val="18"/>
        <w:szCs w:val="22"/>
        <w:u w:val="none"/>
        <w:effect w:val="none"/>
        <w:vertAlign w:val="baseline"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ascii="Verdana" w:eastAsia="Times New Roman" w:hAnsi="Verdana" w:cs="Times New Roman" w:hint="default"/>
        <w:b/>
        <w:bCs w:val="0"/>
        <w:i w:val="0"/>
        <w:iCs/>
        <w:caps w:val="0"/>
        <w:smallCaps w:val="0"/>
        <w:strike w:val="0"/>
        <w:dstrike w:val="0"/>
        <w:outline w:val="0"/>
        <w:shadow w:val="0"/>
        <w:emboss w:val="0"/>
        <w:imprint w:val="0"/>
        <w:snapToGrid/>
        <w:vanish w:val="0"/>
        <w:color w:val="006283"/>
        <w:spacing w:val="0"/>
        <w:w w:val="100"/>
        <w:kern w:val="0"/>
        <w:position w:val="0"/>
        <w:sz w:val="18"/>
        <w:szCs w:val="22"/>
        <w:u w:val="none"/>
        <w:effect w:val="none"/>
        <w:vertAlign w:val="baseline"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6">
      <w:start w:val="1"/>
      <w:numFmt w:val="decimal"/>
      <w:lvlRestart w:val="0"/>
      <w:pStyle w:val="BodyText"/>
      <w:suff w:val="nothing"/>
      <w:lvlText w:val="%7.  "/>
      <w:lvlJc w:val="left"/>
      <w:pPr>
        <w:ind w:left="0" w:firstLine="0"/>
      </w:pPr>
      <w:rPr>
        <w:rFonts w:ascii="Verdana" w:eastAsia="Calibri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18"/>
        <w:szCs w:val="22"/>
        <w:u w:val="none"/>
        <w:effect w:val="none"/>
        <w:vertAlign w:val="baseline"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eastAsia="Calibri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18"/>
        <w:szCs w:val="22"/>
        <w:u w:val="none"/>
        <w:effect w:val="none"/>
        <w:vertAlign w:val="baseline"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eastAsia="Calibri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18"/>
        <w:szCs w:val="16"/>
        <w:u w:val="none"/>
        <w:effect w:val="none"/>
        <w:vertAlign w:val="baseline"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1306934">
    <w:abstractNumId w:val="9"/>
  </w:num>
  <w:num w:numId="2" w16cid:durableId="855315835">
    <w:abstractNumId w:val="7"/>
  </w:num>
  <w:num w:numId="3" w16cid:durableId="2040159531">
    <w:abstractNumId w:val="6"/>
  </w:num>
  <w:num w:numId="4" w16cid:durableId="2059628208">
    <w:abstractNumId w:val="5"/>
  </w:num>
  <w:num w:numId="5" w16cid:durableId="681668804">
    <w:abstractNumId w:val="4"/>
  </w:num>
  <w:num w:numId="6" w16cid:durableId="1134445397">
    <w:abstractNumId w:val="12"/>
  </w:num>
  <w:num w:numId="7" w16cid:durableId="661466743">
    <w:abstractNumId w:val="11"/>
  </w:num>
  <w:num w:numId="8" w16cid:durableId="799689181">
    <w:abstractNumId w:val="10"/>
  </w:num>
  <w:num w:numId="9" w16cid:durableId="20849902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4816079">
    <w:abstractNumId w:val="13"/>
  </w:num>
  <w:num w:numId="11" w16cid:durableId="468547540">
    <w:abstractNumId w:val="8"/>
  </w:num>
  <w:num w:numId="12" w16cid:durableId="579021444">
    <w:abstractNumId w:val="3"/>
  </w:num>
  <w:num w:numId="13" w16cid:durableId="1609582561">
    <w:abstractNumId w:val="2"/>
  </w:num>
  <w:num w:numId="14" w16cid:durableId="1196844380">
    <w:abstractNumId w:val="1"/>
  </w:num>
  <w:num w:numId="15" w16cid:durableId="1817256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827B5"/>
    <w:rsid w:val="002964E7"/>
    <w:rsid w:val="002B0C71"/>
    <w:rsid w:val="002D1DFD"/>
    <w:rsid w:val="00314F47"/>
    <w:rsid w:val="00322B84"/>
    <w:rsid w:val="00333333"/>
    <w:rsid w:val="00333A1E"/>
    <w:rsid w:val="00340B53"/>
    <w:rsid w:val="0034338B"/>
    <w:rsid w:val="003466AC"/>
    <w:rsid w:val="003572B4"/>
    <w:rsid w:val="003601C0"/>
    <w:rsid w:val="0036118C"/>
    <w:rsid w:val="003D2853"/>
    <w:rsid w:val="003F0104"/>
    <w:rsid w:val="00451FCF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C16DB"/>
    <w:rsid w:val="006C25A3"/>
    <w:rsid w:val="006C3782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21113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CE744F"/>
  <w15:docId w15:val="{43B4F45C-0E03-4DBC-A782-92F7BDADC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451F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RWA/26_03917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Carter-Johnson, Victoria</cp:lastModifiedBy>
  <cp:revision>5</cp:revision>
  <dcterms:created xsi:type="dcterms:W3CDTF">2026-07-27T08:53:00Z</dcterms:created>
  <dcterms:modified xsi:type="dcterms:W3CDTF">2026-07-27T10:12:00Z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PUBLIC</vt:lpwstr>
  </property>
</Properties>
</file>