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8C0218" w14:textId="77777777">
      <w:pPr>
        <w:pStyle w:val="Title"/>
        <w:rPr>
          <w:caps w:val="0"/>
          <w:kern w:val="0"/>
        </w:rPr>
      </w:pPr>
      <w:r w:rsidRPr="002F6A28">
        <w:rPr>
          <w:caps w:val="0"/>
          <w:kern w:val="0"/>
        </w:rPr>
        <w:t>NOTIFICATION</w:t>
      </w:r>
    </w:p>
    <w:p w:rsidR="009239F7" w:rsidRPr="002F6A28" w:rsidP="002F6A28" w14:paraId="5239315A" w14:textId="77777777">
      <w:pPr>
        <w:jc w:val="center"/>
      </w:pPr>
      <w:r w:rsidRPr="002F6A28">
        <w:t>The following notification is being circulated in accordance with Article 10.6</w:t>
      </w:r>
    </w:p>
    <w:p w:rsidR="009239F7" w:rsidRPr="002F6A28" w:rsidP="002F6A28" w14:paraId="7727336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F39E8F" w14:textId="77777777" w:rsidTr="00DB13FE">
        <w:tblPrEx>
          <w:tblW w:w="5000" w:type="pct"/>
          <w:tblLayout w:type="fixed"/>
          <w:tblLook w:val="0000"/>
        </w:tblPrEx>
        <w:tc>
          <w:tcPr>
            <w:tcW w:w="607" w:type="dxa"/>
            <w:tcBorders>
              <w:top w:val="double" w:sz="4" w:space="0" w:color="auto"/>
            </w:tcBorders>
          </w:tcPr>
          <w:p w:rsidR="00F85C99" w:rsidRPr="002F6A28" w:rsidP="002F6A28" w14:paraId="35EC750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B524969"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2ED7200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03815D" w14:textId="77777777" w:rsidTr="00DB13FE">
        <w:tblPrEx>
          <w:tblW w:w="5000" w:type="pct"/>
          <w:tblLayout w:type="fixed"/>
          <w:tblLook w:val="0000"/>
        </w:tblPrEx>
        <w:tc>
          <w:tcPr>
            <w:tcW w:w="607" w:type="dxa"/>
          </w:tcPr>
          <w:p w:rsidR="00F85C99" w:rsidRPr="002F6A28" w:rsidP="002F6A28" w14:paraId="56167F68" w14:textId="77777777">
            <w:pPr>
              <w:spacing w:before="120" w:after="120"/>
              <w:jc w:val="left"/>
            </w:pPr>
            <w:r w:rsidRPr="002F6A28">
              <w:rPr>
                <w:b/>
              </w:rPr>
              <w:t>2.</w:t>
            </w:r>
          </w:p>
        </w:tc>
        <w:tc>
          <w:tcPr>
            <w:tcW w:w="8373" w:type="dxa"/>
          </w:tcPr>
          <w:p w:rsidR="00F85C99" w:rsidRPr="002F6A28" w:rsidP="000C3B6C" w14:paraId="3822A01C" w14:textId="77777777">
            <w:pPr>
              <w:spacing w:before="120" w:after="120"/>
            </w:pPr>
            <w:r w:rsidRPr="002F6A28">
              <w:rPr>
                <w:b/>
              </w:rPr>
              <w:t>Agency responsible:</w:t>
            </w:r>
            <w:r w:rsidRPr="00C379C8" w:rsidR="00EE3A11">
              <w:t xml:space="preserve"> </w:t>
            </w:r>
          </w:p>
          <w:p w:rsidR="00EE3A11" w:rsidRPr="00C379C8" w:rsidP="000C3B6C" w14:paraId="23651828" w14:textId="77777777">
            <w:r w:rsidRPr="00C379C8">
              <w:t>Atty. Paolo S. Teston</w:t>
            </w:r>
          </w:p>
          <w:p w:rsidR="00EE3A11" w:rsidRPr="00C379C8" w:rsidP="000C3B6C" w14:paraId="785C8308" w14:textId="77777777">
            <w:r w:rsidRPr="00C379C8">
              <w:t>Director General</w:t>
            </w:r>
          </w:p>
          <w:p w:rsidR="00EE3A11" w:rsidRPr="00C379C8" w:rsidP="000C3B6C" w14:paraId="101BB535" w14:textId="77777777">
            <w:r w:rsidRPr="00C379C8">
              <w:t>Food and Drug Administration</w:t>
            </w:r>
          </w:p>
          <w:p w:rsidR="00EE3A11" w:rsidRPr="00C379C8" w:rsidP="000C3B6C" w14:paraId="120369EE" w14:textId="77777777">
            <w:pPr>
              <w:spacing w:after="120"/>
            </w:pPr>
            <w:r w:rsidRPr="00C379C8">
              <w:t>DEPARTMENT OF HEALTH</w:t>
            </w:r>
          </w:p>
        </w:tc>
      </w:tr>
      <w:tr w14:paraId="4317B608" w14:textId="77777777" w:rsidTr="00DB13FE">
        <w:tblPrEx>
          <w:tblW w:w="5000" w:type="pct"/>
          <w:tblLayout w:type="fixed"/>
          <w:tblLook w:val="0000"/>
        </w:tblPrEx>
        <w:tc>
          <w:tcPr>
            <w:tcW w:w="607" w:type="dxa"/>
          </w:tcPr>
          <w:p w:rsidR="00F85C99" w:rsidRPr="002F6A28" w:rsidP="002F6A28" w14:paraId="2986A594" w14:textId="77777777">
            <w:pPr>
              <w:spacing w:before="120" w:after="120"/>
              <w:jc w:val="left"/>
              <w:rPr>
                <w:b/>
              </w:rPr>
            </w:pPr>
            <w:r w:rsidRPr="002F6A28">
              <w:rPr>
                <w:b/>
              </w:rPr>
              <w:t>3.</w:t>
            </w:r>
          </w:p>
        </w:tc>
        <w:tc>
          <w:tcPr>
            <w:tcW w:w="8373" w:type="dxa"/>
          </w:tcPr>
          <w:p w:rsidR="00F85C99" w:rsidRPr="0058336F" w:rsidP="002F6A28" w14:paraId="2D8ADB9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8A0E84" w14:textId="77777777" w:rsidTr="00DB13FE">
        <w:tblPrEx>
          <w:tblW w:w="5000" w:type="pct"/>
          <w:tblLayout w:type="fixed"/>
          <w:tblLook w:val="0000"/>
        </w:tblPrEx>
        <w:tc>
          <w:tcPr>
            <w:tcW w:w="607" w:type="dxa"/>
          </w:tcPr>
          <w:p w:rsidR="00F85C99" w:rsidRPr="002F6A28" w:rsidP="002F6A28" w14:paraId="7FAF19E2" w14:textId="77777777">
            <w:pPr>
              <w:spacing w:before="120" w:after="120"/>
              <w:jc w:val="left"/>
            </w:pPr>
            <w:r w:rsidRPr="002F6A28">
              <w:rPr>
                <w:b/>
              </w:rPr>
              <w:t>4.</w:t>
            </w:r>
          </w:p>
        </w:tc>
        <w:tc>
          <w:tcPr>
            <w:tcW w:w="8373" w:type="dxa"/>
          </w:tcPr>
          <w:p w:rsidR="00F85C99" w:rsidRPr="002F6A28" w:rsidP="002F6A28" w14:paraId="7B80F02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code(s): 11.120)</w:t>
            </w:r>
          </w:p>
        </w:tc>
      </w:tr>
      <w:tr w14:paraId="47C44AD6" w14:textId="77777777" w:rsidTr="00DB13FE">
        <w:tblPrEx>
          <w:tblW w:w="5000" w:type="pct"/>
          <w:tblLayout w:type="fixed"/>
          <w:tblLook w:val="0000"/>
        </w:tblPrEx>
        <w:tc>
          <w:tcPr>
            <w:tcW w:w="607" w:type="dxa"/>
          </w:tcPr>
          <w:p w:rsidR="00F85C99" w:rsidRPr="002F6A28" w:rsidP="002F6A28" w14:paraId="775BABA7" w14:textId="77777777">
            <w:pPr>
              <w:spacing w:before="120" w:after="120"/>
              <w:jc w:val="left"/>
            </w:pPr>
            <w:r w:rsidRPr="002F6A28">
              <w:rPr>
                <w:b/>
              </w:rPr>
              <w:t>5.</w:t>
            </w:r>
          </w:p>
        </w:tc>
        <w:tc>
          <w:tcPr>
            <w:tcW w:w="8373" w:type="dxa"/>
          </w:tcPr>
          <w:p w:rsidR="00F85C99" w:rsidP="002F6A28" w14:paraId="12D50D5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Enhanced Regulatory Support and Priority Processing Lanes for Licensing and Registration Applications Involving Locally Produced Pharmaceutical Products; (5 page(s), in English)</w:t>
            </w:r>
          </w:p>
          <w:p w:rsidR="000C3B6C" w:rsidRPr="000C3B6C" w:rsidP="002F6A28" w14:paraId="126EB7F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362E1" w:rsidRPr="00CE6C29" w:rsidP="002F6A28" w14:paraId="3C94A9B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https://members.wto.org/crnattachments/2026/TBT/PHL/26_03900_00_e.pdf</w:t>
              </w:r>
            </w:hyperlink>
          </w:p>
          <w:p w:rsidR="004362E1" w:rsidRPr="00CE6C29" w:rsidP="002F6A28" w14:paraId="2E3FBEA7" w14:textId="77777777">
            <w:pPr>
              <w:rPr>
                <w:iCs/>
              </w:rPr>
            </w:pPr>
            <w:hyperlink r:id="rId7" w:tgtFrame="_blank" w:history="1">
              <w:r w:rsidRPr="00CE6C29">
                <w:rPr>
                  <w:iCs/>
                  <w:color w:val="0000FF"/>
                  <w:u w:val="single"/>
                </w:rPr>
                <w:t>https://www.fda.gov.ph/wp-content/uploads/2026/06/Draft-FDA-Circular-for-comments-1.pdf</w:t>
              </w:r>
            </w:hyperlink>
          </w:p>
          <w:p w:rsidR="004362E1" w:rsidRPr="00CE6C29" w:rsidP="002F6A28" w14:paraId="5E81D918" w14:textId="77777777">
            <w:pPr>
              <w:rPr>
                <w:iCs/>
              </w:rPr>
            </w:pPr>
            <w:r w:rsidRPr="00CE6C29">
              <w:rPr>
                <w:iCs/>
              </w:rPr>
              <w:t>Dr. Charmaine Ann M. Rabago</w:t>
            </w:r>
          </w:p>
          <w:p w:rsidR="004362E1" w:rsidRPr="00CE6C29" w:rsidP="002F6A28" w14:paraId="3672520C" w14:textId="77777777">
            <w:pPr>
              <w:rPr>
                <w:iCs/>
              </w:rPr>
            </w:pPr>
            <w:r w:rsidRPr="00CE6C29">
              <w:rPr>
                <w:iCs/>
              </w:rPr>
              <w:t>Officer-in-Charge, Director IV</w:t>
            </w:r>
          </w:p>
          <w:p w:rsidR="004362E1" w:rsidRPr="00CE6C29" w:rsidP="002F6A28" w14:paraId="5AC27884" w14:textId="77777777">
            <w:pPr>
              <w:rPr>
                <w:iCs/>
              </w:rPr>
            </w:pPr>
            <w:r w:rsidRPr="00CE6C29">
              <w:rPr>
                <w:iCs/>
              </w:rPr>
              <w:t>Center for Drug Regulation and Research</w:t>
            </w:r>
          </w:p>
          <w:p w:rsidR="004362E1" w:rsidRPr="00CE6C29" w:rsidP="002F6A28" w14:paraId="719637D7" w14:textId="77777777">
            <w:pPr>
              <w:rPr>
                <w:iCs/>
              </w:rPr>
            </w:pPr>
            <w:r w:rsidRPr="00CE6C29">
              <w:rPr>
                <w:iCs/>
              </w:rPr>
              <w:t>Food and Drug Administration</w:t>
            </w:r>
          </w:p>
          <w:p w:rsidR="004362E1" w:rsidRPr="00CE6C29" w:rsidP="002F6A28" w14:paraId="2AE935C8" w14:textId="77777777">
            <w:pPr>
              <w:rPr>
                <w:iCs/>
              </w:rPr>
            </w:pPr>
            <w:r w:rsidRPr="00CE6C29">
              <w:rPr>
                <w:iCs/>
              </w:rPr>
              <w:t>DEPARTMENT OF HEALTH</w:t>
            </w:r>
          </w:p>
          <w:p w:rsidR="004362E1" w:rsidRPr="00CE6C29" w:rsidP="002F6A28" w14:paraId="4FC10B1A" w14:textId="77777777">
            <w:pPr>
              <w:rPr>
                <w:iCs/>
              </w:rPr>
            </w:pPr>
            <w:r w:rsidRPr="00CE6C29">
              <w:rPr>
                <w:iCs/>
              </w:rPr>
              <w:t xml:space="preserve">Email: </w:t>
            </w:r>
            <w:hyperlink r:id="rId8" w:history="1">
              <w:r w:rsidRPr="00CE6C29">
                <w:rPr>
                  <w:iCs/>
                  <w:color w:val="0000FF"/>
                  <w:u w:val="single"/>
                </w:rPr>
                <w:t>cdrr.od@fda.gov.ph</w:t>
              </w:r>
            </w:hyperlink>
            <w:r w:rsidRPr="00CE6C29">
              <w:rPr>
                <w:iCs/>
              </w:rPr>
              <w:t xml:space="preserve">, </w:t>
            </w:r>
            <w:hyperlink r:id="rId9" w:history="1">
              <w:r w:rsidRPr="00CE6C29">
                <w:rPr>
                  <w:iCs/>
                  <w:color w:val="0000FF"/>
                  <w:u w:val="single"/>
                </w:rPr>
                <w:t>cdrr@fda.gov.ph</w:t>
              </w:r>
            </w:hyperlink>
            <w:r w:rsidRPr="00CE6C29">
              <w:rPr>
                <w:iCs/>
              </w:rPr>
              <w:t xml:space="preserve">, </w:t>
            </w:r>
            <w:hyperlink r:id="rId10" w:history="1">
              <w:r w:rsidRPr="00CE6C29">
                <w:rPr>
                  <w:iCs/>
                  <w:color w:val="0000FF"/>
                  <w:u w:val="single"/>
                </w:rPr>
                <w:t>cdrr.sds@fda.gov.ph</w:t>
              </w:r>
            </w:hyperlink>
            <w:r w:rsidRPr="00CE6C29">
              <w:rPr>
                <w:iCs/>
              </w:rPr>
              <w:t xml:space="preserve">; </w:t>
            </w:r>
            <w:hyperlink r:id="rId11" w:history="1">
              <w:r w:rsidRPr="00CE6C29">
                <w:rPr>
                  <w:iCs/>
                  <w:color w:val="0000FF"/>
                  <w:u w:val="single"/>
                </w:rPr>
                <w:t>BPS@dti.gov.ph</w:t>
              </w:r>
            </w:hyperlink>
          </w:p>
          <w:p w:rsidR="004362E1" w:rsidRPr="00CE6C29" w:rsidP="002F6A28" w14:paraId="3BD3CF4B" w14:textId="77777777">
            <w:pPr>
              <w:spacing w:after="120"/>
              <w:rPr>
                <w:iCs/>
              </w:rPr>
            </w:pPr>
            <w:r w:rsidRPr="00CE6C29">
              <w:rPr>
                <w:iCs/>
              </w:rPr>
              <w:t>www.fda.gov.ph</w:t>
            </w:r>
          </w:p>
        </w:tc>
      </w:tr>
      <w:tr w14:paraId="5001000F" w14:textId="77777777" w:rsidTr="00DB13FE">
        <w:tblPrEx>
          <w:tblW w:w="5000" w:type="pct"/>
          <w:tblLayout w:type="fixed"/>
          <w:tblLook w:val="0000"/>
        </w:tblPrEx>
        <w:tc>
          <w:tcPr>
            <w:tcW w:w="607" w:type="dxa"/>
          </w:tcPr>
          <w:p w:rsidR="00F85C99" w:rsidRPr="002F6A28" w:rsidP="002F6A28" w14:paraId="5077BE5F" w14:textId="77777777">
            <w:pPr>
              <w:spacing w:before="120" w:after="120"/>
              <w:jc w:val="left"/>
              <w:rPr>
                <w:b/>
              </w:rPr>
            </w:pPr>
            <w:r w:rsidRPr="002F6A28">
              <w:rPr>
                <w:b/>
              </w:rPr>
              <w:t>6.</w:t>
            </w:r>
          </w:p>
        </w:tc>
        <w:tc>
          <w:tcPr>
            <w:tcW w:w="8373" w:type="dxa"/>
          </w:tcPr>
          <w:p w:rsidR="00F85C99" w:rsidRPr="002F6A28" w:rsidP="002F6A28" w14:paraId="1CCF190E" w14:textId="77777777">
            <w:pPr>
              <w:spacing w:before="120" w:after="120"/>
              <w:rPr>
                <w:b/>
              </w:rPr>
            </w:pPr>
            <w:r w:rsidRPr="002F6A28">
              <w:rPr>
                <w:b/>
              </w:rPr>
              <w:t>Description of content:</w:t>
            </w:r>
            <w:r w:rsidRPr="00C379C8" w:rsidR="00FE448B">
              <w:t xml:space="preserve"> The proposed administrative issuance establishes and provides the guidelines for enhanced regulatory support and priority processing lanes for eligible licensing and registration applications involving locally produced pharmaceutical products.</w:t>
            </w:r>
          </w:p>
        </w:tc>
      </w:tr>
      <w:tr w14:paraId="7E6DA5EF" w14:textId="77777777" w:rsidTr="00DB13FE">
        <w:tblPrEx>
          <w:tblW w:w="5000" w:type="pct"/>
          <w:tblLayout w:type="fixed"/>
          <w:tblLook w:val="0000"/>
        </w:tblPrEx>
        <w:tc>
          <w:tcPr>
            <w:tcW w:w="607" w:type="dxa"/>
          </w:tcPr>
          <w:p w:rsidR="00F85C99" w:rsidRPr="002F6A28" w:rsidP="002F6A28" w14:paraId="516C0E59" w14:textId="77777777">
            <w:pPr>
              <w:spacing w:before="120" w:after="120"/>
              <w:jc w:val="left"/>
              <w:rPr>
                <w:b/>
              </w:rPr>
            </w:pPr>
            <w:r w:rsidRPr="002F6A28">
              <w:rPr>
                <w:b/>
              </w:rPr>
              <w:t>7.</w:t>
            </w:r>
          </w:p>
        </w:tc>
        <w:tc>
          <w:tcPr>
            <w:tcW w:w="8373" w:type="dxa"/>
          </w:tcPr>
          <w:p w:rsidR="00F85C99" w:rsidRPr="002F6A28" w:rsidP="002F6A28" w14:paraId="396F5070" w14:textId="77777777">
            <w:pPr>
              <w:spacing w:before="120" w:after="120"/>
              <w:rPr>
                <w:b/>
              </w:rPr>
            </w:pPr>
            <w:r w:rsidRPr="002F6A28">
              <w:rPr>
                <w:b/>
              </w:rPr>
              <w:t>Objective and rationale, including the nature of urgent problems where applicable:</w:t>
            </w:r>
            <w:r w:rsidRPr="00C379C8" w:rsidR="00EE3A11">
              <w:t xml:space="preserve"> The Philippine FDA intends to provide targeted regulatory mechanisms to support local pharmaceutical manufacturing, innovation, and capacity expansion. Existing frameworks apply largely uniform requirements to imported and locally manufactured products, without accounting for structural disadvantages faced by domestic producers. Although the Philippine Medicines Policy (PMP) 2022–2030 promotes self-sufficiency, operational regulatory tools remain limited. As a result, the sector remains heavily reliant on imports. While local manufacturers account for 72% of sales volume, multinational </w:t>
            </w:r>
            <w:r w:rsidRPr="00C379C8" w:rsidR="00EE3A11">
              <w:t>companies capture 52% of total market value, reflecting dominance in higher-value and patented products. Industry stakeholders have called for regulatory pathways that enable domestic firms to compete more effectively. Several options were assessed, including economic incentives, Green Lanes, priority lanes with reduced timelines, and enhanced regulatory support. The recommended approach combines priority processing lane with feasible timeline reduction and with enhanced regulatory support through introduction of pre-registration consultation mechanisms, directly addressing identified regulatory gaps.</w:t>
            </w:r>
          </w:p>
        </w:tc>
      </w:tr>
      <w:tr w14:paraId="440A8636" w14:textId="77777777" w:rsidTr="00DB13FE">
        <w:tblPrEx>
          <w:tblW w:w="5000" w:type="pct"/>
          <w:tblLayout w:type="fixed"/>
          <w:tblLook w:val="0000"/>
        </w:tblPrEx>
        <w:tc>
          <w:tcPr>
            <w:tcW w:w="607" w:type="dxa"/>
          </w:tcPr>
          <w:p w:rsidR="00F85C99" w:rsidRPr="002F6A28" w:rsidP="009E75ED" w14:paraId="4F83CC71" w14:textId="77777777">
            <w:pPr>
              <w:spacing w:before="120" w:after="120"/>
              <w:jc w:val="left"/>
              <w:rPr>
                <w:b/>
              </w:rPr>
            </w:pPr>
            <w:r w:rsidRPr="002F6A28">
              <w:rPr>
                <w:b/>
              </w:rPr>
              <w:t>8.</w:t>
            </w:r>
          </w:p>
        </w:tc>
        <w:tc>
          <w:tcPr>
            <w:tcW w:w="8373" w:type="dxa"/>
          </w:tcPr>
          <w:p w:rsidR="000C3B6C" w:rsidRPr="00EC00D2" w:rsidP="007F13E8" w14:paraId="0E46E664" w14:textId="77777777">
            <w:pPr>
              <w:spacing w:before="120" w:after="120"/>
              <w:rPr>
                <w:bCs/>
              </w:rPr>
            </w:pPr>
            <w:r w:rsidRPr="002F6A28">
              <w:rPr>
                <w:b/>
              </w:rPr>
              <w:t>Relevant documents:</w:t>
            </w:r>
            <w:r w:rsidRPr="002F6A28" w:rsidR="00EE3A11">
              <w:t xml:space="preserve"> </w:t>
            </w:r>
          </w:p>
          <w:p w:rsidR="00EE3A11" w:rsidRPr="002F6A28" w:rsidP="007F13E8" w14:paraId="51014DEA" w14:textId="77777777">
            <w:pPr>
              <w:numPr>
                <w:ilvl w:val="0"/>
                <w:numId w:val="16"/>
              </w:numPr>
              <w:spacing w:before="120" w:after="120"/>
            </w:pPr>
            <w:r w:rsidRPr="002F6A28">
              <w:t>RA No. 3720, as amended by EO No. 175 s. 1987: "Foods, Drugs and Devices, and Cosmetics Act"</w:t>
            </w:r>
          </w:p>
          <w:p w:rsidR="00EE3A11" w:rsidRPr="002F6A28" w:rsidP="007F13E8" w14:paraId="3A16DDB4" w14:textId="77777777">
            <w:pPr>
              <w:numPr>
                <w:ilvl w:val="0"/>
                <w:numId w:val="16"/>
              </w:numPr>
              <w:spacing w:before="120" w:after="120"/>
            </w:pPr>
            <w:r w:rsidRPr="002F6A28">
              <w:t>RA No. 9711: "Food and Drug Administration (FDA) Act of 2009"</w:t>
            </w:r>
          </w:p>
          <w:p w:rsidR="00EE3A11" w:rsidRPr="002F6A28" w:rsidP="007F13E8" w14:paraId="1A44181C" w14:textId="77777777">
            <w:pPr>
              <w:numPr>
                <w:ilvl w:val="0"/>
                <w:numId w:val="16"/>
              </w:numPr>
              <w:spacing w:before="120" w:after="120"/>
            </w:pPr>
            <w:r w:rsidRPr="002F6A28">
              <w:t>Philippine Medicines Policy 2022-2030</w:t>
            </w:r>
          </w:p>
          <w:p w:rsidR="00EE3A11" w:rsidRPr="002F6A28" w:rsidP="007F13E8" w14:paraId="415DBC38" w14:textId="77777777">
            <w:pPr>
              <w:numPr>
                <w:ilvl w:val="0"/>
                <w:numId w:val="16"/>
              </w:numPr>
              <w:spacing w:before="120" w:after="120"/>
            </w:pPr>
            <w:r w:rsidRPr="002F6A28">
              <w:t>AO No. 2024-0013: "General Rules and Regulations on the Registration of Pharmaceutical Products and Active Pharmaceutical Ingredients Intended for Human Use"</w:t>
            </w:r>
          </w:p>
        </w:tc>
      </w:tr>
      <w:tr w14:paraId="509B7183" w14:textId="77777777" w:rsidTr="00DB13FE">
        <w:tblPrEx>
          <w:tblW w:w="5000" w:type="pct"/>
          <w:tblLayout w:type="fixed"/>
          <w:tblLook w:val="0000"/>
        </w:tblPrEx>
        <w:tc>
          <w:tcPr>
            <w:tcW w:w="607" w:type="dxa"/>
          </w:tcPr>
          <w:p w:rsidR="00EE3A11" w:rsidRPr="002F6A28" w:rsidP="002F6A28" w14:paraId="62CBA599" w14:textId="77777777">
            <w:pPr>
              <w:spacing w:before="120" w:after="120"/>
              <w:jc w:val="left"/>
              <w:rPr>
                <w:b/>
              </w:rPr>
            </w:pPr>
            <w:r w:rsidRPr="002F6A28">
              <w:rPr>
                <w:b/>
              </w:rPr>
              <w:t>9.</w:t>
            </w:r>
          </w:p>
        </w:tc>
        <w:tc>
          <w:tcPr>
            <w:tcW w:w="8373" w:type="dxa"/>
          </w:tcPr>
          <w:p w:rsidR="00EE3A11" w:rsidRPr="002F6A28" w:rsidP="008953C4" w14:paraId="399CD292" w14:textId="77777777">
            <w:pPr>
              <w:spacing w:before="120" w:after="120"/>
            </w:pPr>
            <w:r w:rsidRPr="002F6A28">
              <w:rPr>
                <w:b/>
              </w:rPr>
              <w:t>Proposed date of adoption:</w:t>
            </w:r>
            <w:r w:rsidRPr="00C379C8">
              <w:t xml:space="preserve"> To be determined</w:t>
            </w:r>
          </w:p>
          <w:p w:rsidR="00EE3A11" w:rsidRPr="002F6A28" w:rsidP="008953C4" w14:paraId="50470BC5" w14:textId="77777777">
            <w:pPr>
              <w:spacing w:after="120"/>
            </w:pPr>
            <w:r w:rsidRPr="002F6A28">
              <w:rPr>
                <w:b/>
              </w:rPr>
              <w:t>Proposed date of entry into force:</w:t>
            </w:r>
            <w:r w:rsidRPr="00C379C8">
              <w:t xml:space="preserve"> Q4 2026</w:t>
            </w:r>
          </w:p>
        </w:tc>
      </w:tr>
      <w:tr w14:paraId="117F90DE" w14:textId="77777777" w:rsidTr="00DB13FE">
        <w:tblPrEx>
          <w:tblW w:w="5000" w:type="pct"/>
          <w:tblLayout w:type="fixed"/>
          <w:tblLook w:val="0000"/>
        </w:tblPrEx>
        <w:tc>
          <w:tcPr>
            <w:tcW w:w="607" w:type="dxa"/>
            <w:tcBorders>
              <w:bottom w:val="double" w:sz="4" w:space="0" w:color="auto"/>
            </w:tcBorders>
          </w:tcPr>
          <w:p w:rsidR="00F85C99" w:rsidRPr="002F6A28" w:rsidP="002F6A28" w14:paraId="765E8C7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43FEEA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3B33756" w14:textId="77777777">
            <w:pPr>
              <w:spacing w:before="120" w:after="120"/>
              <w:rPr>
                <w:bCs/>
              </w:rPr>
            </w:pPr>
            <w:r w:rsidRPr="002F6A28">
              <w:rPr>
                <w:b/>
              </w:rPr>
              <w:t>Final date for comments:</w:t>
            </w:r>
            <w:r w:rsidRPr="00C379C8" w:rsidR="00EE3A11">
              <w:t xml:space="preserve"> 31 July 2026</w:t>
            </w:r>
          </w:p>
          <w:p w:rsidR="000C3B6C" w:rsidRPr="00E3324D" w:rsidP="000C3B6C" w14:paraId="4D5EC0B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713606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D6727CA" w14:textId="77777777">
            <w:r w:rsidRPr="00CE6C29">
              <w:t>Mr. Neil P. Catajay</w:t>
            </w:r>
          </w:p>
          <w:p w:rsidR="00CE6C29" w:rsidRPr="00CE6C29" w:rsidP="000C3B6C" w14:paraId="096E4355" w14:textId="77777777">
            <w:r w:rsidRPr="00CE6C29">
              <w:t>Director</w:t>
            </w:r>
          </w:p>
          <w:p w:rsidR="00CE6C29" w:rsidRPr="00CE6C29" w:rsidP="000C3B6C" w14:paraId="6619CA46" w14:textId="77777777">
            <w:r w:rsidRPr="00CE6C29">
              <w:t>Bureau of Philippine Standards</w:t>
            </w:r>
          </w:p>
          <w:p w:rsidR="00CE6C29" w:rsidRPr="00CE6C29" w:rsidP="000C3B6C" w14:paraId="0671DAB1" w14:textId="77777777">
            <w:r w:rsidRPr="00CE6C29">
              <w:t>Department of Trade and Industry</w:t>
            </w:r>
          </w:p>
          <w:p w:rsidR="00CE6C29" w:rsidRPr="00CE6C29" w:rsidP="000C3B6C" w14:paraId="58DF640F" w14:textId="77777777">
            <w:r w:rsidRPr="00CE6C29">
              <w:t>3F Trade and Industry Building</w:t>
            </w:r>
          </w:p>
          <w:p w:rsidR="00CE6C29" w:rsidRPr="00CE6C29" w:rsidP="000C3B6C" w14:paraId="0D0E704A" w14:textId="77777777">
            <w:r w:rsidRPr="00CE6C29">
              <w:t>361 Sen. Gil Puyat Avenue</w:t>
            </w:r>
          </w:p>
          <w:p w:rsidR="00CE6C29" w:rsidRPr="00CE6C29" w:rsidP="000C3B6C" w14:paraId="7DF67C61" w14:textId="77777777">
            <w:r w:rsidRPr="00CE6C29">
              <w:t>Makati City</w:t>
            </w:r>
          </w:p>
          <w:p w:rsidR="00CE6C29" w:rsidRPr="00CE6C29" w:rsidP="000C3B6C" w14:paraId="740E8999" w14:textId="77777777">
            <w:r w:rsidRPr="00CE6C29">
              <w:t>Philippines</w:t>
            </w:r>
          </w:p>
          <w:p w:rsidR="00CE6C29" w:rsidRPr="00CE6C29" w:rsidP="000C3B6C" w14:paraId="6CC1B63B" w14:textId="77777777">
            <w:r w:rsidRPr="00CE6C29">
              <w:t>1200</w:t>
            </w:r>
          </w:p>
          <w:p w:rsidR="00CE6C29" w:rsidRPr="00CE6C29" w:rsidP="000C3B6C" w14:paraId="5E78D4D1" w14:textId="77777777">
            <w:r w:rsidRPr="00CE6C29">
              <w:t>Tel: (632) 751 4700; (632) 7913128</w:t>
            </w:r>
          </w:p>
          <w:p w:rsidR="00CE6C29" w:rsidRPr="00CE6C29" w:rsidP="000C3B6C" w14:paraId="5C89389B" w14:textId="77777777">
            <w:r w:rsidRPr="00CE6C29">
              <w:t xml:space="preserve">Email: </w:t>
            </w:r>
            <w:hyperlink r:id="rId11" w:history="1">
              <w:r w:rsidRPr="00CE6C29">
                <w:rPr>
                  <w:color w:val="0000FF"/>
                  <w:u w:val="single"/>
                </w:rPr>
                <w:t>bps@dti.gov.ph</w:t>
              </w:r>
            </w:hyperlink>
          </w:p>
          <w:p w:rsidR="00CE6C29" w:rsidRPr="00CE6C29" w:rsidP="000C3B6C" w14:paraId="174D749E" w14:textId="77777777">
            <w:pPr>
              <w:spacing w:after="120"/>
            </w:pPr>
            <w:r w:rsidRPr="00CE6C29">
              <w:t xml:space="preserve">Website: </w:t>
            </w:r>
            <w:hyperlink r:id="rId12" w:tgtFrame="_blank" w:history="1">
              <w:r w:rsidRPr="00CE6C29">
                <w:rPr>
                  <w:color w:val="0000FF"/>
                  <w:u w:val="single"/>
                </w:rPr>
                <w:t>http://www.bps.dti.gov.ph</w:t>
              </w:r>
            </w:hyperlink>
          </w:p>
        </w:tc>
      </w:tr>
    </w:tbl>
    <w:p w:rsidR="00EE3A11" w:rsidRPr="002F6A28" w:rsidP="00887259" w14:paraId="65E5425A"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B496E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83DFD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4E48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11EA8B" w14:textId="77777777">
    <w:pPr>
      <w:pStyle w:val="Header"/>
      <w:pBdr>
        <w:bottom w:val="single" w:sz="4" w:space="1" w:color="auto"/>
      </w:pBdr>
      <w:tabs>
        <w:tab w:val="clear" w:pos="4513"/>
        <w:tab w:val="clear" w:pos="9027"/>
      </w:tabs>
      <w:jc w:val="center"/>
    </w:pPr>
    <w:r w:rsidRPr="002F6A28">
      <w:t>tbtSymbol</w:t>
    </w:r>
  </w:p>
  <w:p w:rsidR="009239F7" w:rsidRPr="002F6A28" w:rsidP="009239F7" w14:paraId="075FCE3C" w14:textId="77777777">
    <w:pPr>
      <w:pStyle w:val="Header"/>
      <w:pBdr>
        <w:bottom w:val="single" w:sz="4" w:space="1" w:color="auto"/>
      </w:pBdr>
      <w:tabs>
        <w:tab w:val="clear" w:pos="4513"/>
        <w:tab w:val="clear" w:pos="9027"/>
      </w:tabs>
      <w:jc w:val="center"/>
    </w:pPr>
  </w:p>
  <w:p w:rsidR="009239F7" w:rsidRPr="002F6A28" w:rsidP="009239F7" w14:paraId="0177915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0E88C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D5969A" w14:textId="77777777">
    <w:pPr>
      <w:pStyle w:val="Header"/>
      <w:pBdr>
        <w:bottom w:val="single" w:sz="4" w:space="1" w:color="auto"/>
      </w:pBdr>
      <w:tabs>
        <w:tab w:val="clear" w:pos="4513"/>
        <w:tab w:val="clear" w:pos="9027"/>
      </w:tabs>
      <w:jc w:val="center"/>
    </w:pPr>
    <w:bookmarkStart w:id="0" w:name="spsSymbolHeader"/>
    <w:r w:rsidRPr="002F6A28">
      <w:t>G/TBT/N/PHL/373</w:t>
    </w:r>
    <w:bookmarkEnd w:id="0"/>
  </w:p>
  <w:p w:rsidR="009239F7" w:rsidRPr="002F6A28" w:rsidP="009239F7" w14:paraId="7FFF7080" w14:textId="77777777">
    <w:pPr>
      <w:pStyle w:val="Header"/>
      <w:pBdr>
        <w:bottom w:val="single" w:sz="4" w:space="1" w:color="auto"/>
      </w:pBdr>
      <w:tabs>
        <w:tab w:val="clear" w:pos="4513"/>
        <w:tab w:val="clear" w:pos="9027"/>
      </w:tabs>
      <w:jc w:val="center"/>
    </w:pPr>
  </w:p>
  <w:p w:rsidR="009239F7" w:rsidRPr="002F6A28" w:rsidP="009239F7" w14:paraId="058BE7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33EA1E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745B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DBDC37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4002410" w14:textId="77777777">
          <w:pPr>
            <w:jc w:val="right"/>
            <w:rPr>
              <w:b/>
              <w:color w:val="FF0000"/>
              <w:szCs w:val="16"/>
            </w:rPr>
          </w:pPr>
        </w:p>
      </w:tc>
    </w:tr>
    <w:bookmarkEnd w:id="1"/>
    <w:tr w14:paraId="68269A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E212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DA20BC" w14:textId="77777777">
          <w:pPr>
            <w:jc w:val="right"/>
            <w:rPr>
              <w:b/>
              <w:szCs w:val="16"/>
            </w:rPr>
          </w:pPr>
        </w:p>
      </w:tc>
    </w:tr>
    <w:tr w14:paraId="2E43337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C0B720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E22F5F9" w14:textId="77777777">
          <w:pPr>
            <w:jc w:val="right"/>
            <w:rPr>
              <w:b/>
              <w:szCs w:val="16"/>
            </w:rPr>
          </w:pPr>
          <w:bookmarkStart w:id="2" w:name="bmkSymbols"/>
          <w:r w:rsidRPr="002F6A28">
            <w:rPr>
              <w:b/>
              <w:szCs w:val="16"/>
            </w:rPr>
            <w:t>G/TBT/N/PHL/373</w:t>
          </w:r>
          <w:bookmarkEnd w:id="2"/>
        </w:p>
      </w:tc>
    </w:tr>
    <w:tr w14:paraId="5E729A2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1A262F" w14:textId="77777777"/>
      </w:tc>
      <w:tc>
        <w:tcPr>
          <w:tcW w:w="5448" w:type="dxa"/>
          <w:gridSpan w:val="2"/>
          <w:shd w:val="clear" w:color="auto" w:fill="FFFFFF"/>
          <w:tcMar>
            <w:left w:w="108" w:type="dxa"/>
            <w:right w:w="108" w:type="dxa"/>
          </w:tcMar>
          <w:vAlign w:val="center"/>
        </w:tcPr>
        <w:p w:rsidR="00ED54E0" w:rsidRPr="009239F7" w:rsidP="00B801E9" w14:paraId="7D37BDA0" w14:textId="77777777">
          <w:pPr>
            <w:jc w:val="right"/>
            <w:rPr>
              <w:szCs w:val="16"/>
            </w:rPr>
          </w:pPr>
          <w:bookmarkStart w:id="3" w:name="spsDateDistribution"/>
          <w:bookmarkStart w:id="4" w:name="bmkDate"/>
          <w:r w:rsidRPr="009239F7">
            <w:rPr>
              <w:szCs w:val="16"/>
            </w:rPr>
            <w:t>27 July 2026</w:t>
          </w:r>
          <w:bookmarkEnd w:id="3"/>
          <w:bookmarkEnd w:id="4"/>
        </w:p>
      </w:tc>
    </w:tr>
    <w:tr w14:paraId="28283D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91EF0A" w14:textId="77777777">
          <w:pPr>
            <w:jc w:val="left"/>
            <w:rPr>
              <w:b/>
            </w:rPr>
          </w:pPr>
          <w:bookmarkStart w:id="5" w:name="bmkSerial"/>
          <w:r>
            <w:rPr>
              <w:rFonts w:ascii="Verdana" w:eastAsia="Verdana" w:hAnsi="Verdana" w:cs="Verdana"/>
              <w:b w:val="0"/>
              <w:color w:val="FF0000"/>
              <w:sz w:val="18"/>
            </w:rPr>
            <w:t>(26-5345)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8C370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DFEB8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AC81F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A6BCE8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D5AD6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79250242">
    <w:abstractNumId w:val="9"/>
  </w:num>
  <w:num w:numId="2" w16cid:durableId="439569018">
    <w:abstractNumId w:val="7"/>
  </w:num>
  <w:num w:numId="3" w16cid:durableId="144012020">
    <w:abstractNumId w:val="6"/>
  </w:num>
  <w:num w:numId="4" w16cid:durableId="502472541">
    <w:abstractNumId w:val="5"/>
  </w:num>
  <w:num w:numId="5" w16cid:durableId="154958808">
    <w:abstractNumId w:val="4"/>
  </w:num>
  <w:num w:numId="6" w16cid:durableId="2110346749">
    <w:abstractNumId w:val="12"/>
  </w:num>
  <w:num w:numId="7" w16cid:durableId="82068686">
    <w:abstractNumId w:val="11"/>
  </w:num>
  <w:num w:numId="8" w16cid:durableId="1980765819">
    <w:abstractNumId w:val="10"/>
  </w:num>
  <w:num w:numId="9" w16cid:durableId="1567955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3957983">
    <w:abstractNumId w:val="13"/>
  </w:num>
  <w:num w:numId="11" w16cid:durableId="715279252">
    <w:abstractNumId w:val="8"/>
  </w:num>
  <w:num w:numId="12" w16cid:durableId="8339993">
    <w:abstractNumId w:val="3"/>
  </w:num>
  <w:num w:numId="13" w16cid:durableId="2054386625">
    <w:abstractNumId w:val="2"/>
  </w:num>
  <w:num w:numId="14" w16cid:durableId="1260407023">
    <w:abstractNumId w:val="1"/>
  </w:num>
  <w:num w:numId="15" w16cid:durableId="1991250941">
    <w:abstractNumId w:val="0"/>
  </w:num>
  <w:num w:numId="16" w16cid:durableId="5426446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62E1"/>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13E4"/>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A1D"/>
    <w:rsid w:val="00B23F74"/>
    <w:rsid w:val="00B24459"/>
    <w:rsid w:val="00B4237E"/>
    <w:rsid w:val="00B52738"/>
    <w:rsid w:val="00B55105"/>
    <w:rsid w:val="00B5689B"/>
    <w:rsid w:val="00B56EDC"/>
    <w:rsid w:val="00B57342"/>
    <w:rsid w:val="00B6007A"/>
    <w:rsid w:val="00B7102C"/>
    <w:rsid w:val="00B801E9"/>
    <w:rsid w:val="00B97638"/>
    <w:rsid w:val="00BA4750"/>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6C1F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drr.sds@fda.gov.ph" TargetMode="External" /><Relationship Id="rId11" Type="http://schemas.openxmlformats.org/officeDocument/2006/relationships/hyperlink" Target="mailto:BPS@dti.gov.ph" TargetMode="External" /><Relationship Id="rId12" Type="http://schemas.openxmlformats.org/officeDocument/2006/relationships/hyperlink" Target="http://www.bps.dti.gov.p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3900_00_e.pdf" TargetMode="External" /><Relationship Id="rId7" Type="http://schemas.openxmlformats.org/officeDocument/2006/relationships/hyperlink" Target="https://www.fda.gov.ph/wp-content/uploads/2026/06/Draft-FDA-Circular-for-comments-1.pdf" TargetMode="External" /><Relationship Id="rId8" Type="http://schemas.openxmlformats.org/officeDocument/2006/relationships/hyperlink" Target="mailto:cdrr.od@fda.gov.ph" TargetMode="External" /><Relationship Id="rId9" Type="http://schemas.openxmlformats.org/officeDocument/2006/relationships/hyperlink" Target="mailto:cdrr@fda.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E931C0A-B7DC-47D2-92AF-7DFD32747F6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2026-07-27T07:10:00Z</dcterms:created>
  <dcterms:modified xsi:type="dcterms:W3CDTF">2026-07-27T07:10:00Z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