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319F016D" w14:textId="77777777">
      <w:pPr>
        <w:pStyle w:val="Title"/>
      </w:pPr>
      <w:r w:rsidRPr="002F663C">
        <w:t>NOTIFICATION</w:t>
      </w:r>
    </w:p>
    <w:p w:rsidR="002F663C" w:rsidRPr="002F663C" w:rsidP="00DD3DD7" w14:paraId="3C066E8A" w14:textId="77777777">
      <w:pPr>
        <w:pStyle w:val="Title3"/>
      </w:pPr>
      <w:r w:rsidRPr="002F663C">
        <w:t>Addendum</w:t>
      </w:r>
    </w:p>
    <w:p w:rsidR="002F663C" w:rsidP="001E2E4A" w14:paraId="5DCB89F5"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23 July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Ukraine</w:t>
      </w:r>
      <w:r w:rsidRPr="002F663C">
        <w:rPr>
          <w:rFonts w:eastAsia="Calibri" w:cs="Times New Roman"/>
        </w:rPr>
        <w:t>.</w:t>
      </w:r>
    </w:p>
    <w:p w:rsidR="001E2E4A" w:rsidRPr="002F663C" w:rsidP="001E2E4A" w14:paraId="6478766F" w14:textId="77777777">
      <w:pPr>
        <w:rPr>
          <w:rFonts w:eastAsia="Calibri" w:cs="Times New Roman"/>
        </w:rPr>
      </w:pPr>
    </w:p>
    <w:p w:rsidR="002F663C" w:rsidRPr="002F663C" w:rsidP="002F663C" w14:paraId="7C6478E1" w14:textId="77777777">
      <w:pPr>
        <w:jc w:val="center"/>
        <w:rPr>
          <w:rFonts w:eastAsia="Calibri" w:cs="Times New Roman"/>
          <w:b/>
        </w:rPr>
      </w:pPr>
      <w:r w:rsidRPr="002F663C">
        <w:rPr>
          <w:rFonts w:eastAsia="Calibri" w:cs="Times New Roman"/>
          <w:b/>
        </w:rPr>
        <w:t>_______________</w:t>
      </w:r>
    </w:p>
    <w:p w:rsidR="002F663C" w:rsidP="002F663C" w14:paraId="357E59E8" w14:textId="77777777">
      <w:pPr>
        <w:rPr>
          <w:rFonts w:eastAsia="Calibri" w:cs="Times New Roman"/>
        </w:rPr>
      </w:pPr>
    </w:p>
    <w:p w:rsidR="00C14444" w:rsidRPr="002F663C" w:rsidP="002F663C" w14:paraId="4B4BF106" w14:textId="77777777">
      <w:pPr>
        <w:rPr>
          <w:rFonts w:eastAsia="Calibri" w:cs="Times New Roman"/>
        </w:rPr>
      </w:pPr>
    </w:p>
    <w:p w:rsidR="002F663C" w:rsidRPr="002F663C" w:rsidP="002F663C" w14:paraId="3B6A418E"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Draft Law of Ukraine "On Amendments to Certain Legislative Acts of Ukraine to Harmonize Them with the Legislation of the European Union in the Field of Organic Production, Circulation and </w:t>
      </w:r>
      <w:r w:rsidRPr="00022513">
        <w:rPr>
          <w:rFonts w:eastAsia="Calibri" w:cs="Times New Roman"/>
          <w:bCs/>
          <w:szCs w:val="18"/>
        </w:rPr>
        <w:t>Labeling</w:t>
      </w:r>
      <w:r w:rsidRPr="00022513">
        <w:rPr>
          <w:rFonts w:eastAsia="Calibri" w:cs="Times New Roman"/>
          <w:bCs/>
          <w:szCs w:val="18"/>
        </w:rPr>
        <w:t xml:space="preserve"> of Organic Products"</w:t>
      </w:r>
    </w:p>
    <w:p w:rsidR="002F663C" w:rsidRPr="002F663C" w:rsidP="002F663C" w14:paraId="7661BE46"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49EFB5AD"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1ECD6D88"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47FAC61A" w14:textId="77777777" w:rsidTr="00E9471B">
        <w:tblPrEx>
          <w:tblW w:w="9049" w:type="dxa"/>
          <w:tblLayout w:type="fixed"/>
          <w:tblLook w:val="04A0"/>
        </w:tblPrEx>
        <w:tc>
          <w:tcPr>
            <w:tcW w:w="851" w:type="dxa"/>
          </w:tcPr>
          <w:p w:rsidR="002F663C" w:rsidRPr="00711F9C" w:rsidP="00C14444" w14:paraId="0C197B5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489CF1F3"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105AB388" w14:textId="77777777" w:rsidTr="00E9471B">
        <w:tblPrEx>
          <w:tblW w:w="9049" w:type="dxa"/>
          <w:tblLayout w:type="fixed"/>
          <w:tblLook w:val="04A0"/>
        </w:tblPrEx>
        <w:tc>
          <w:tcPr>
            <w:tcW w:w="851" w:type="dxa"/>
          </w:tcPr>
          <w:p w:rsidR="002F663C" w:rsidRPr="00711F9C" w:rsidP="00C14444" w14:paraId="7A8EB094"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4F191580"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30 June 2026</w:t>
            </w:r>
          </w:p>
        </w:tc>
      </w:tr>
      <w:tr w14:paraId="637E1DE0" w14:textId="77777777" w:rsidTr="00E9471B">
        <w:tblPrEx>
          <w:tblW w:w="9049" w:type="dxa"/>
          <w:tblLayout w:type="fixed"/>
          <w:tblLook w:val="04A0"/>
        </w:tblPrEx>
        <w:tc>
          <w:tcPr>
            <w:tcW w:w="851" w:type="dxa"/>
          </w:tcPr>
          <w:p w:rsidR="002F663C" w:rsidRPr="00711F9C" w:rsidP="00C14444" w14:paraId="02A62EB1"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C59FE50"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21 July 2026</w:t>
            </w:r>
          </w:p>
        </w:tc>
      </w:tr>
      <w:tr w14:paraId="5DEE5341" w14:textId="77777777" w:rsidTr="00E9471B">
        <w:tblPrEx>
          <w:tblW w:w="9049" w:type="dxa"/>
          <w:tblLayout w:type="fixed"/>
          <w:tblLook w:val="04A0"/>
        </w:tblPrEx>
        <w:tc>
          <w:tcPr>
            <w:tcW w:w="851" w:type="dxa"/>
          </w:tcPr>
          <w:p w:rsidR="002F663C" w:rsidRPr="00711F9C" w:rsidP="00C14444" w14:paraId="784D10E9"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F8EA21F"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21 July 2029; This Law will enter into force on 21 July 2029, except for subparagraphs 1–4, 6–9, the second, third, fifth and sixth paragraphs of subparagraph 11, subparagraph 12, the twenty-third and twenty-fifth paragraphs of subparagraph 13, subparagraphs 15 and 17–20 of paragraph 8 and paragraph 9 of Section XI "Final and Transitional Provisions" of this Law, which entered into force on the day following the date of publication of this Law.</w:t>
            </w:r>
          </w:p>
        </w:tc>
      </w:tr>
      <w:tr w14:paraId="76FCE71C" w14:textId="77777777" w:rsidTr="00E9471B">
        <w:tblPrEx>
          <w:tblW w:w="9049" w:type="dxa"/>
          <w:tblLayout w:type="fixed"/>
          <w:tblLook w:val="04A0"/>
        </w:tblPrEx>
        <w:tc>
          <w:tcPr>
            <w:tcW w:w="851" w:type="dxa"/>
          </w:tcPr>
          <w:p w:rsidR="002F663C" w:rsidRPr="00711F9C" w:rsidP="00C14444" w14:paraId="1AFCD635"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70B270D0"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089ED94C" w14:textId="77777777">
            <w:pPr>
              <w:spacing w:before="120" w:after="120"/>
              <w:rPr>
                <w:rFonts w:eastAsia="Calibri" w:cs="Times New Roman"/>
              </w:rPr>
            </w:pPr>
            <w:hyperlink r:id="rId7" w:anchor="Text" w:tgtFrame="_blank" w:history="1">
              <w:r w:rsidRPr="002F663C">
                <w:rPr>
                  <w:rFonts w:eastAsia="Calibri" w:cs="Times New Roman"/>
                  <w:color w:val="0000FF"/>
                  <w:u w:val="single"/>
                </w:rPr>
                <w:t>https://zakon.rada.gov.ua/laws/show/4921-20#Text</w:t>
              </w:r>
            </w:hyperlink>
          </w:p>
          <w:p w:rsidR="002F663C" w:rsidRPr="002F663C" w:rsidP="00EB7B40" w14:paraId="5102E44B" w14:textId="77777777">
            <w:pPr>
              <w:spacing w:before="120" w:after="120"/>
              <w:rPr>
                <w:rFonts w:eastAsia="Calibri" w:cs="Times New Roman"/>
              </w:rPr>
            </w:pPr>
            <w:hyperlink r:id="rId8" w:tgtFrame="_blank" w:history="1">
              <w:r w:rsidRPr="002F663C">
                <w:rPr>
                  <w:rFonts w:eastAsia="Calibri" w:cs="Times New Roman"/>
                  <w:color w:val="0000FF"/>
                  <w:u w:val="single"/>
                </w:rPr>
                <w:t>https://members.wto.org/crnattachments/2026/TBT/UKR/final_measure/26_03870_00_x.pdf</w:t>
              </w:r>
            </w:hyperlink>
          </w:p>
        </w:tc>
      </w:tr>
      <w:tr w14:paraId="141FE8FF" w14:textId="77777777" w:rsidTr="00E9471B">
        <w:tblPrEx>
          <w:tblW w:w="9049" w:type="dxa"/>
          <w:tblLayout w:type="fixed"/>
          <w:tblLook w:val="04A0"/>
        </w:tblPrEx>
        <w:tc>
          <w:tcPr>
            <w:tcW w:w="851" w:type="dxa"/>
          </w:tcPr>
          <w:p w:rsidR="002F663C" w:rsidRPr="00711F9C" w:rsidP="00C14444" w14:paraId="5F3B238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7ACE7304"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5D1F4827"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7DF45A20" w14:textId="77777777" w:rsidTr="00E9471B">
        <w:tblPrEx>
          <w:tblW w:w="9049" w:type="dxa"/>
          <w:tblLayout w:type="fixed"/>
          <w:tblLook w:val="04A0"/>
        </w:tblPrEx>
        <w:tc>
          <w:tcPr>
            <w:tcW w:w="851" w:type="dxa"/>
          </w:tcPr>
          <w:p w:rsidR="002F663C" w:rsidRPr="00711F9C" w:rsidP="00C14444" w14:paraId="273A368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F4AEC93"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7862B630"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3A5C0FF4" w14:textId="77777777" w:rsidTr="00E9471B">
        <w:tblPrEx>
          <w:tblW w:w="9049" w:type="dxa"/>
          <w:tblLayout w:type="fixed"/>
          <w:tblLook w:val="04A0"/>
        </w:tblPrEx>
        <w:tc>
          <w:tcPr>
            <w:tcW w:w="851" w:type="dxa"/>
          </w:tcPr>
          <w:p w:rsidR="002F663C" w:rsidRPr="00711F9C" w:rsidP="00C14444" w14:paraId="2232863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0753F148"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27F83F2A" w14:textId="77777777" w:rsidTr="00E9471B">
        <w:tblPrEx>
          <w:tblW w:w="9049" w:type="dxa"/>
          <w:tblLayout w:type="fixed"/>
          <w:tblLook w:val="04A0"/>
        </w:tblPrEx>
        <w:tc>
          <w:tcPr>
            <w:tcW w:w="851" w:type="dxa"/>
            <w:tcBorders>
              <w:bottom w:val="double" w:sz="4" w:space="0" w:color="auto"/>
            </w:tcBorders>
          </w:tcPr>
          <w:p w:rsidR="002F663C" w:rsidRPr="00711F9C" w:rsidP="00C14444" w14:paraId="78DCD15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4A57DE4E"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799BE627" w14:textId="77777777">
      <w:pPr>
        <w:jc w:val="left"/>
        <w:rPr>
          <w:rFonts w:eastAsia="Calibri" w:cs="Times New Roman"/>
          <w:highlight w:val="yellow"/>
        </w:rPr>
      </w:pPr>
    </w:p>
    <w:p w:rsidR="003971FF" w:rsidRPr="007F6EA2" w:rsidP="00B16ACF" w14:paraId="6CD95356"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Ukraine notifies that the draft Law "On Amendments to Certain Legislative Acts of Ukraine to Harmonize Them with the Legislation of the European Union in the Field of Organic Production, Circulation and </w:t>
      </w:r>
      <w:r w:rsidRPr="002F663C">
        <w:rPr>
          <w:rFonts w:eastAsia="Calibri" w:cs="Times New Roman"/>
          <w:szCs w:val="18"/>
        </w:rPr>
        <w:t>Labeling</w:t>
      </w:r>
      <w:r w:rsidRPr="002F663C">
        <w:rPr>
          <w:rFonts w:eastAsia="Calibri" w:cs="Times New Roman"/>
          <w:szCs w:val="18"/>
        </w:rPr>
        <w:t xml:space="preserve"> of Organic Products" has been adopted as the Law of Ukraine </w:t>
      </w:r>
      <w:r w:rsidRPr="002F663C">
        <w:rPr>
          <w:rFonts w:eastAsia="Calibri" w:cs="Times New Roman"/>
          <w:szCs w:val="18"/>
        </w:rPr>
        <w:t xml:space="preserve">No. 4921-IX "On State Regulation of Organic Production, Circulation and </w:t>
      </w:r>
      <w:r w:rsidRPr="002F663C">
        <w:rPr>
          <w:rFonts w:eastAsia="Calibri" w:cs="Times New Roman"/>
          <w:szCs w:val="18"/>
        </w:rPr>
        <w:t>Labeling</w:t>
      </w:r>
      <w:r w:rsidRPr="002F663C">
        <w:rPr>
          <w:rFonts w:eastAsia="Calibri" w:cs="Times New Roman"/>
          <w:szCs w:val="18"/>
        </w:rPr>
        <w:t xml:space="preserve"> of Organic Products" of 30 June 2026.</w:t>
      </w:r>
    </w:p>
    <w:p w:rsidR="00CE5E36" w:rsidRPr="002F663C" w:rsidP="00B16ACF" w14:paraId="685EFD1B" w14:textId="77777777">
      <w:pPr>
        <w:spacing w:before="120" w:after="120"/>
        <w:rPr>
          <w:rFonts w:eastAsia="Calibri" w:cs="Times New Roman"/>
          <w:szCs w:val="18"/>
        </w:rPr>
      </w:pPr>
      <w:r w:rsidRPr="002F663C">
        <w:rPr>
          <w:rFonts w:eastAsia="Calibri" w:cs="Times New Roman"/>
          <w:szCs w:val="18"/>
        </w:rPr>
        <w:t>The Law was published on 21 July 2026 and will enter into force on 21 July 2029, three years after the date of its official publication, except for subparagraphs 1–4, 6–9, the second, third, fifth and sixth paragraphs of subparagraph 11, subparagraph 12, the twenty-third and twenty-fifth paragraphs of subparagraph 13, subparagraphs 15 and 17–20 of paragraph 8 and paragraph 9 of Section XI "Final and Transitional Provisions" , which entered into force on the day following the date of publication of this Law.</w:t>
      </w:r>
    </w:p>
    <w:p w:rsidR="00CE5E36" w:rsidRPr="002F663C" w:rsidP="00B16ACF" w14:paraId="1F20E02F" w14:textId="77777777">
      <w:pPr>
        <w:spacing w:before="120" w:after="120"/>
        <w:rPr>
          <w:rFonts w:eastAsia="Calibri" w:cs="Times New Roman"/>
          <w:szCs w:val="18"/>
        </w:rPr>
      </w:pPr>
      <w:r w:rsidRPr="002F663C">
        <w:rPr>
          <w:rFonts w:eastAsia="Calibri" w:cs="Times New Roman"/>
          <w:szCs w:val="18"/>
        </w:rPr>
        <w:t>Section XI "Final and Transitional Provisions" of the Law also provides, inter alia, that:</w:t>
      </w:r>
    </w:p>
    <w:p w:rsidR="00CE5E36" w:rsidRPr="002F663C" w:rsidP="00B16ACF" w14:paraId="4B4529B7" w14:textId="77777777">
      <w:pPr>
        <w:spacing w:before="120" w:after="120"/>
        <w:rPr>
          <w:rFonts w:eastAsia="Calibri" w:cs="Times New Roman"/>
          <w:szCs w:val="18"/>
        </w:rPr>
      </w:pPr>
      <w:r w:rsidRPr="002F663C">
        <w:rPr>
          <w:rFonts w:eastAsia="Calibri" w:cs="Times New Roman"/>
          <w:szCs w:val="18"/>
        </w:rPr>
        <w:t>certification bodies entered in the State Register of Certification Bodies in the Field of Organic Production and Circulation of Organic Products shall be deemed authorized certification bodies for the purposes of this Law until the expiry of their accreditation certificates;</w:t>
      </w:r>
    </w:p>
    <w:p w:rsidR="00CE5E36" w:rsidRPr="002F663C" w:rsidP="00B16ACF" w14:paraId="375E25A0" w14:textId="77777777">
      <w:pPr>
        <w:spacing w:before="120" w:after="120"/>
        <w:rPr>
          <w:rFonts w:eastAsia="Calibri" w:cs="Times New Roman"/>
          <w:szCs w:val="18"/>
        </w:rPr>
      </w:pPr>
      <w:r w:rsidRPr="002F663C">
        <w:rPr>
          <w:rFonts w:eastAsia="Calibri" w:cs="Times New Roman"/>
          <w:szCs w:val="18"/>
        </w:rPr>
        <w:t xml:space="preserve">certificates issued in accordance with the Law of Ukraine "On the Basic Principles and Requirements for Organic Production, Circulation and </w:t>
      </w:r>
      <w:r w:rsidRPr="002F663C">
        <w:rPr>
          <w:rFonts w:eastAsia="Calibri" w:cs="Times New Roman"/>
          <w:szCs w:val="18"/>
        </w:rPr>
        <w:t>Labeling</w:t>
      </w:r>
      <w:r w:rsidRPr="002F663C">
        <w:rPr>
          <w:rFonts w:eastAsia="Calibri" w:cs="Times New Roman"/>
          <w:szCs w:val="18"/>
        </w:rPr>
        <w:t xml:space="preserve"> of Organic Products" (which was repealed upon the adoption of this Law) shall remain valid until their expiry or until they are withdrawn in the cases provided for by this Law;</w:t>
      </w:r>
    </w:p>
    <w:p w:rsidR="00CE5E36" w:rsidRPr="002F663C" w:rsidP="00B16ACF" w14:paraId="31D6444A" w14:textId="77777777">
      <w:pPr>
        <w:spacing w:before="120" w:after="120"/>
        <w:rPr>
          <w:rFonts w:eastAsia="Calibri" w:cs="Times New Roman"/>
          <w:szCs w:val="18"/>
        </w:rPr>
      </w:pPr>
      <w:r w:rsidRPr="002F663C">
        <w:rPr>
          <w:rFonts w:eastAsia="Calibri" w:cs="Times New Roman"/>
          <w:szCs w:val="18"/>
        </w:rPr>
        <w:t xml:space="preserve">organic products and products under conversion whose </w:t>
      </w:r>
      <w:r w:rsidRPr="002F663C">
        <w:rPr>
          <w:rFonts w:eastAsia="Calibri" w:cs="Times New Roman"/>
          <w:szCs w:val="18"/>
        </w:rPr>
        <w:t>labeling</w:t>
      </w:r>
      <w:r w:rsidRPr="002F663C">
        <w:rPr>
          <w:rFonts w:eastAsia="Calibri" w:cs="Times New Roman"/>
          <w:szCs w:val="18"/>
        </w:rPr>
        <w:t xml:space="preserve"> complies with the legislation on organic production, circulation and </w:t>
      </w:r>
      <w:r w:rsidRPr="002F663C">
        <w:rPr>
          <w:rFonts w:eastAsia="Calibri" w:cs="Times New Roman"/>
          <w:szCs w:val="18"/>
        </w:rPr>
        <w:t>labeling</w:t>
      </w:r>
      <w:r w:rsidRPr="002F663C">
        <w:rPr>
          <w:rFonts w:eastAsia="Calibri" w:cs="Times New Roman"/>
          <w:szCs w:val="18"/>
        </w:rPr>
        <w:t xml:space="preserve"> of organic products in force before the entry into force of this Law may continue to be produced and/or placed on the market for a period of three years from the date of entry into force of this Law. Such products may remain on the market until the expiry of the use-by date, expiry date or best before date (for food) or until the expiry of the minimum storage period (fo</w:t>
      </w:r>
      <w:r w:rsidRPr="002F663C">
        <w:rPr>
          <w:rFonts w:eastAsia="Calibri" w:cs="Times New Roman"/>
          <w:szCs w:val="18"/>
        </w:rPr>
        <w:t>r feed).</w:t>
      </w:r>
    </w:p>
    <w:p w:rsidR="006C5A96" w:rsidP="006C5A96" w14:paraId="0406AA92" w14:textId="77777777">
      <w:pPr>
        <w:jc w:val="center"/>
        <w:rPr>
          <w:b/>
        </w:rPr>
      </w:pPr>
      <w:r w:rsidRPr="003971FF">
        <w:rPr>
          <w:b/>
        </w:rPr>
        <w:t>__________</w:t>
      </w:r>
    </w:p>
    <w:p w:rsidR="004D4D19" w:rsidP="007F38C2" w14:paraId="0ECA54CB" w14:textId="77777777">
      <w:pPr>
        <w:jc w:val="center"/>
        <w:rPr>
          <w:b/>
        </w:rPr>
      </w:pPr>
    </w:p>
    <w:p w:rsidR="00A1565D" w:rsidP="003971FF" w14:paraId="0323BA9A" w14:textId="77777777">
      <w:pPr>
        <w:jc w:val="center"/>
        <w:rPr>
          <w:b/>
        </w:rPr>
      </w:pPr>
    </w:p>
    <w:sectPr w:rsidSect="006C5A96">
      <w:headerReference w:type="even" r:id="rId9"/>
      <w:headerReference w:type="default" r:id="rId10"/>
      <w:footerReference w:type="even" r:id="rId11"/>
      <w:footerReference w:type="default" r:id="rId12"/>
      <w:head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12A6927"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4D67EC5"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30A09" w:rsidP="00ED54E0" w14:paraId="3B8B9BED" w14:textId="77777777">
      <w:r>
        <w:separator/>
      </w:r>
    </w:p>
  </w:footnote>
  <w:footnote w:type="continuationSeparator" w:id="1">
    <w:p w:rsidR="00530A09" w:rsidP="00ED54E0" w14:paraId="20AD8416" w14:textId="77777777">
      <w:r>
        <w:continuationSeparator/>
      </w:r>
    </w:p>
  </w:footnote>
  <w:footnote w:id="2">
    <w:p w:rsidR="007F6EA2" w14:paraId="3D8E22C2"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1D4CD109"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26FC0A28" w14:textId="77777777">
    <w:pPr>
      <w:pStyle w:val="Header"/>
      <w:pBdr>
        <w:bottom w:val="single" w:sz="4" w:space="1" w:color="auto"/>
      </w:pBdr>
      <w:tabs>
        <w:tab w:val="clear" w:pos="4513"/>
        <w:tab w:val="clear" w:pos="9027"/>
      </w:tabs>
      <w:jc w:val="center"/>
    </w:pPr>
  </w:p>
  <w:p w:rsidR="00DD3DD7" w:rsidRPr="00DD3DD7" w:rsidP="00DD3DD7" w14:paraId="2E1E69BD"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5FCB3CE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007F4A72" w14:textId="77777777">
    <w:pPr>
      <w:pStyle w:val="Header"/>
      <w:pBdr>
        <w:bottom w:val="single" w:sz="4" w:space="1" w:color="auto"/>
      </w:pBdr>
      <w:tabs>
        <w:tab w:val="clear" w:pos="4513"/>
        <w:tab w:val="clear" w:pos="9027"/>
      </w:tabs>
      <w:jc w:val="center"/>
    </w:pPr>
    <w:bookmarkStart w:id="3" w:name="spsSymbolHeader"/>
    <w:r w:rsidRPr="00DD3DD7">
      <w:t>G/TBT/N/UKR/311/Add.2</w:t>
    </w:r>
    <w:bookmarkEnd w:id="3"/>
  </w:p>
  <w:p w:rsidR="00DD3DD7" w:rsidRPr="00DD3DD7" w:rsidP="00DD3DD7" w14:paraId="2E57AB57" w14:textId="77777777">
    <w:pPr>
      <w:pStyle w:val="Header"/>
      <w:pBdr>
        <w:bottom w:val="single" w:sz="4" w:space="1" w:color="auto"/>
      </w:pBdr>
      <w:tabs>
        <w:tab w:val="clear" w:pos="4513"/>
        <w:tab w:val="clear" w:pos="9027"/>
      </w:tabs>
      <w:jc w:val="center"/>
    </w:pPr>
  </w:p>
  <w:p w:rsidR="00DD3DD7" w:rsidRPr="00DD3DD7" w:rsidP="00DD3DD7" w14:paraId="7454FDB9"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7B9694B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BC2F1E5"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62FA740A"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3D4283B1" w14:textId="77777777">
          <w:pPr>
            <w:jc w:val="right"/>
            <w:rPr>
              <w:b/>
              <w:color w:val="FF0000"/>
              <w:szCs w:val="16"/>
            </w:rPr>
          </w:pPr>
          <w:r>
            <w:rPr>
              <w:b/>
              <w:color w:val="FF0000"/>
              <w:szCs w:val="16"/>
            </w:rPr>
            <w:t xml:space="preserve"> </w:t>
          </w:r>
        </w:p>
      </w:tc>
    </w:tr>
    <w:tr w14:paraId="4DDE411C"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40C6BACE"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22F937CC" w14:textId="77777777">
          <w:pPr>
            <w:jc w:val="right"/>
            <w:rPr>
              <w:b/>
              <w:szCs w:val="16"/>
            </w:rPr>
          </w:pPr>
        </w:p>
      </w:tc>
    </w:tr>
    <w:tr w14:paraId="3AE946BE"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6274AB42"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30DAE5E2" w14:textId="77777777">
          <w:pPr>
            <w:jc w:val="right"/>
            <w:rPr>
              <w:rFonts w:eastAsia="Calibri" w:cs="Times New Roman"/>
              <w:b/>
              <w:szCs w:val="16"/>
            </w:rPr>
          </w:pPr>
          <w:bookmarkStart w:id="4" w:name="bmkSymbols"/>
          <w:r w:rsidRPr="002F663C">
            <w:rPr>
              <w:rFonts w:eastAsia="Calibri" w:cs="Times New Roman"/>
              <w:b/>
              <w:szCs w:val="16"/>
            </w:rPr>
            <w:t>G/TBT/N/UKR/311/Add.2</w:t>
          </w:r>
          <w:bookmarkEnd w:id="4"/>
        </w:p>
        <w:p w:rsidR="00C14444" w:rsidRPr="00C14444" w:rsidP="00C14444" w14:paraId="58B1DFF3" w14:textId="77777777">
          <w:pPr>
            <w:jc w:val="center"/>
            <w:rPr>
              <w:szCs w:val="16"/>
            </w:rPr>
          </w:pPr>
        </w:p>
      </w:tc>
    </w:tr>
    <w:tr w14:paraId="31877E2C"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224BBC38" w14:textId="77777777"/>
      </w:tc>
      <w:tc>
        <w:tcPr>
          <w:tcW w:w="5448" w:type="dxa"/>
          <w:gridSpan w:val="2"/>
          <w:shd w:val="clear" w:color="auto" w:fill="FFFFFF"/>
          <w:tcMar>
            <w:left w:w="108" w:type="dxa"/>
            <w:right w:w="108" w:type="dxa"/>
          </w:tcMar>
          <w:vAlign w:val="center"/>
        </w:tcPr>
        <w:p w:rsidR="00ED54E0" w:rsidRPr="00182B84" w:rsidP="00425DC5" w14:paraId="4E8077FA" w14:textId="77777777">
          <w:pPr>
            <w:jc w:val="right"/>
            <w:rPr>
              <w:szCs w:val="16"/>
            </w:rPr>
          </w:pPr>
          <w:bookmarkStart w:id="5" w:name="bmkDate"/>
          <w:r w:rsidRPr="00182B84">
            <w:rPr>
              <w:szCs w:val="16"/>
            </w:rPr>
            <w:t>24 July 2026</w:t>
          </w:r>
          <w:bookmarkEnd w:id="5"/>
        </w:p>
      </w:tc>
    </w:tr>
    <w:tr w14:paraId="69919967"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36003B59" w14:textId="77777777">
          <w:pPr>
            <w:jc w:val="left"/>
            <w:rPr>
              <w:b/>
            </w:rPr>
          </w:pPr>
          <w:bookmarkStart w:id="6" w:name="bmkSerial"/>
          <w:r>
            <w:rPr>
              <w:rFonts w:ascii="Verdana" w:eastAsia="Verdana" w:hAnsi="Verdana" w:cs="Verdana"/>
              <w:b w:val="0"/>
              <w:color w:val="FF0000"/>
              <w:sz w:val="18"/>
            </w:rPr>
            <w:t>(26-5315)</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41F1853F"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53BEDFF2"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11B6E441"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305F514E"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5CA2331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01049802">
    <w:abstractNumId w:val="9"/>
  </w:num>
  <w:num w:numId="2" w16cid:durableId="1709530828">
    <w:abstractNumId w:val="7"/>
  </w:num>
  <w:num w:numId="3" w16cid:durableId="1079642305">
    <w:abstractNumId w:val="6"/>
  </w:num>
  <w:num w:numId="4" w16cid:durableId="669017102">
    <w:abstractNumId w:val="5"/>
  </w:num>
  <w:num w:numId="5" w16cid:durableId="1073040337">
    <w:abstractNumId w:val="4"/>
  </w:num>
  <w:num w:numId="6" w16cid:durableId="1524976817">
    <w:abstractNumId w:val="12"/>
  </w:num>
  <w:num w:numId="7" w16cid:durableId="1608194117">
    <w:abstractNumId w:val="11"/>
  </w:num>
  <w:num w:numId="8" w16cid:durableId="1717847156">
    <w:abstractNumId w:val="10"/>
  </w:num>
  <w:num w:numId="9" w16cid:durableId="7946425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5287010">
    <w:abstractNumId w:val="13"/>
  </w:num>
  <w:num w:numId="11" w16cid:durableId="1209415030">
    <w:abstractNumId w:val="8"/>
  </w:num>
  <w:num w:numId="12" w16cid:durableId="1886213679">
    <w:abstractNumId w:val="3"/>
  </w:num>
  <w:num w:numId="13" w16cid:durableId="1785222350">
    <w:abstractNumId w:val="2"/>
  </w:num>
  <w:num w:numId="14" w16cid:durableId="960649641">
    <w:abstractNumId w:val="1"/>
  </w:num>
  <w:num w:numId="15" w16cid:durableId="976184539">
    <w:abstractNumId w:val="0"/>
  </w:num>
  <w:num w:numId="16" w16cid:durableId="912205546">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82664"/>
    <w:rsid w:val="003971FF"/>
    <w:rsid w:val="00397FF5"/>
    <w:rsid w:val="004244A9"/>
    <w:rsid w:val="00425DC5"/>
    <w:rsid w:val="00437CFF"/>
    <w:rsid w:val="00467032"/>
    <w:rsid w:val="0046754A"/>
    <w:rsid w:val="00467A46"/>
    <w:rsid w:val="004A220F"/>
    <w:rsid w:val="004C5A53"/>
    <w:rsid w:val="004D3A6A"/>
    <w:rsid w:val="004D4D19"/>
    <w:rsid w:val="004F203A"/>
    <w:rsid w:val="00530A09"/>
    <w:rsid w:val="005336B8"/>
    <w:rsid w:val="00544326"/>
    <w:rsid w:val="00547B5F"/>
    <w:rsid w:val="005611E7"/>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55E3"/>
    <w:rsid w:val="00807247"/>
    <w:rsid w:val="00816096"/>
    <w:rsid w:val="0082081F"/>
    <w:rsid w:val="00832639"/>
    <w:rsid w:val="00840C2B"/>
    <w:rsid w:val="008739FD"/>
    <w:rsid w:val="00893E85"/>
    <w:rsid w:val="008A0701"/>
    <w:rsid w:val="008B1018"/>
    <w:rsid w:val="008C42D2"/>
    <w:rsid w:val="008E2C13"/>
    <w:rsid w:val="008E372C"/>
    <w:rsid w:val="0090611E"/>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BF3652"/>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CE5E36"/>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06475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zakon.rada.gov.ua/laws/show/4921-20" TargetMode="External" /><Relationship Id="rId8" Type="http://schemas.openxmlformats.org/officeDocument/2006/relationships/hyperlink" Target="https://members.wto.org/crnattachments/2026/TBT/UKR/final_measure/26_03870_00_x.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lfarra\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76A8D-FEC8-4709-89EE-D372F102694F}">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610</Words>
  <Characters>3280</Characters>
  <Application>Microsoft Office Word</Application>
  <DocSecurity>0</DocSecurity>
  <Lines>74</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2026-07-24T07:28:00Z</dcterms:created>
  <dcterms:modified xsi:type="dcterms:W3CDTF">2026-07-24T08:56:00Z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