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872E1B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4B37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2AB5DF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A658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40EB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CA5E91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13EBBC6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8E3C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8B3A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4522A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4E3B61" w14:textId="77777777">
            <w:r w:rsidRPr="00C379C8">
              <w:t>Atty. Paolo S. Teston</w:t>
            </w:r>
          </w:p>
          <w:p w:rsidR="00EE3A11" w:rsidRPr="00C379C8" w:rsidP="000C3B6C" w14:paraId="5448B741" w14:textId="77777777">
            <w:r w:rsidRPr="00C379C8">
              <w:t>Director General</w:t>
            </w:r>
          </w:p>
          <w:p w:rsidR="00EE3A11" w:rsidRPr="00C379C8" w:rsidP="000C3B6C" w14:paraId="04AB093E" w14:textId="77777777">
            <w:pPr>
              <w:spacing w:after="120"/>
            </w:pPr>
            <w:r w:rsidRPr="00C379C8">
              <w:t>Food and Drug Administration</w:t>
            </w:r>
          </w:p>
        </w:tc>
      </w:tr>
      <w:tr w14:paraId="76DFB7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A4B4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8B019E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B564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A09B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F83F0B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Instruments and appliances used in medical, surgical, dental or veterinary sciences, incl. scintigraphic apparatus, other electro-medical apparatus and sight-testing instruments, n.e.s. (HS code(s): 9018)</w:t>
            </w:r>
          </w:p>
        </w:tc>
      </w:tr>
      <w:tr w14:paraId="063087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EFD1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3B0C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Guidelines on the Application for Variation of the Issued Product Authorizations for Medical and Health-Related Devices; (14 page(s), in English)</w:t>
            </w:r>
          </w:p>
          <w:p w:rsidR="000C3B6C" w:rsidRPr="000C3B6C" w:rsidP="002F6A28" w14:paraId="234CB7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2C56" w:rsidRPr="00CE6C29" w:rsidP="002F6A28" w14:paraId="5128E38C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https://members.wto.org/crnattachments/2026/TBT/PHL/26_03884_00_e.pdf</w:t>
              </w:r>
            </w:hyperlink>
          </w:p>
          <w:p w:rsidR="00072C56" w:rsidRPr="00CE6C29" w:rsidP="002F6A28" w14:paraId="28AE4C3A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https://members.wto.org/crnattachments/2026/TBT/PHL/26_03884_01_e.pdf</w:t>
              </w:r>
            </w:hyperlink>
          </w:p>
          <w:p w:rsidR="00072C56" w:rsidRPr="00CE6C29" w:rsidP="002F6A28" w14:paraId="41AF02CB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https://www.fda.gov.ph/draft-for-comments-guidelines-on-the-application-for-variation-of-the-issued-product-authorizations-for-medical-and-health-related-devices/</w:t>
              </w:r>
            </w:hyperlink>
          </w:p>
          <w:p w:rsidR="00072C56" w:rsidRPr="00CE6C29" w:rsidP="002F6A28" w14:paraId="720B08A6" w14:textId="77777777">
            <w:pPr>
              <w:rPr>
                <w:iCs/>
              </w:rPr>
            </w:pPr>
            <w:r w:rsidRPr="00CE6C29">
              <w:rPr>
                <w:iCs/>
              </w:rPr>
              <w:t>Atty. Paolo S. Teston</w:t>
            </w:r>
          </w:p>
          <w:p w:rsidR="00072C56" w:rsidRPr="00CE6C29" w:rsidP="002F6A28" w14:paraId="2C57BF84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072C56" w:rsidRPr="00CE6C29" w:rsidP="002F6A28" w14:paraId="3D5B047E" w14:textId="77777777">
            <w:pPr>
              <w:rPr>
                <w:iCs/>
              </w:rPr>
            </w:pPr>
            <w:r w:rsidRPr="00CE6C29">
              <w:rPr>
                <w:iCs/>
              </w:rPr>
              <w:t>Food and Drug Administration</w:t>
            </w:r>
          </w:p>
          <w:p w:rsidR="00072C56" w:rsidRPr="00CE6C29" w:rsidP="002F6A28" w14:paraId="67C831E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cdrrhr-prsdd@fda.gov.ph</w:t>
              </w:r>
            </w:hyperlink>
            <w:r w:rsidRPr="00CE6C29">
              <w:rPr>
                <w:iCs/>
              </w:rPr>
              <w:t xml:space="preserve">; </w:t>
            </w:r>
            <w:hyperlink r:id="rId10" w:history="1">
              <w:r w:rsidRPr="00CE6C29">
                <w:rPr>
                  <w:iCs/>
                  <w:color w:val="0000FF"/>
                  <w:u w:val="single"/>
                </w:rPr>
                <w:t>BPS@dti.gov.ph</w:t>
              </w:r>
            </w:hyperlink>
          </w:p>
        </w:tc>
      </w:tr>
      <w:tr w14:paraId="2D856D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D2AA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ED87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proposed FDA Circular provides comprehensive guidance on variation applications of medical device and health-related product and introduces a risk-based approach for Medical Device Software. Furthermore, these guidelines partially adopt the Global Harmonization Working Party (GHWP) principles on Change Management.</w:t>
            </w:r>
          </w:p>
        </w:tc>
      </w:tr>
      <w:tr w14:paraId="2E7378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BF6F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2383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draft policy aims to establish a clear regulatory framework for medical device variations, implementing a risk-based approach to ensure the continuous safety, quality, and efficacy of health-regulated products in the market; Protection of human health or safety</w:t>
            </w:r>
          </w:p>
        </w:tc>
      </w:tr>
      <w:tr w14:paraId="074E96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F201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3F8F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60A0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Republic Act No. 9711 entitled "Food and Drug Administration Act (FDA) of 2009"</w:t>
            </w:r>
          </w:p>
          <w:p w:rsidR="00EE3A11" w:rsidRPr="002F6A28" w:rsidP="007F13E8" w14:paraId="3FF724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GHWP Change Management to Registered Medical Devices (GHWP/WG2-WG1-WG3/F001:2024</w:t>
            </w:r>
          </w:p>
        </w:tc>
      </w:tr>
      <w:tr w14:paraId="7EE24C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FCA9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0F559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4B545F8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6331C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AAA72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7F5955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6F3C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0D735A3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D59049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B10E991" w14:textId="77777777">
            <w:r w:rsidRPr="00CE6C29">
              <w:t>Mr. Neil P. Catajay</w:t>
            </w:r>
          </w:p>
          <w:p w:rsidR="00CE6C29" w:rsidRPr="00CE6C29" w:rsidP="000C3B6C" w14:paraId="52DD5709" w14:textId="77777777">
            <w:r w:rsidRPr="00CE6C29">
              <w:t>Director</w:t>
            </w:r>
          </w:p>
          <w:p w:rsidR="00CE6C29" w:rsidRPr="00CE6C29" w:rsidP="000C3B6C" w14:paraId="1060DBC0" w14:textId="77777777">
            <w:r w:rsidRPr="00CE6C29">
              <w:t>Bureau of Philippine Standards</w:t>
            </w:r>
          </w:p>
          <w:p w:rsidR="00CE6C29" w:rsidRPr="00CE6C29" w:rsidP="000C3B6C" w14:paraId="6EDB024E" w14:textId="77777777">
            <w:r w:rsidRPr="00CE6C29">
              <w:t>Department of Trade and Industry</w:t>
            </w:r>
          </w:p>
          <w:p w:rsidR="00CE6C29" w:rsidRPr="00CE6C29" w:rsidP="000C3B6C" w14:paraId="62F454F5" w14:textId="77777777">
            <w:r w:rsidRPr="00CE6C29">
              <w:t>3F Trade and Industry Building</w:t>
            </w:r>
          </w:p>
          <w:p w:rsidR="00CE6C29" w:rsidRPr="00CE6C29" w:rsidP="000C3B6C" w14:paraId="526C2720" w14:textId="77777777">
            <w:r w:rsidRPr="00CE6C29">
              <w:t>361 Sen. Gil Puyat Avenue</w:t>
            </w:r>
          </w:p>
          <w:p w:rsidR="00CE6C29" w:rsidRPr="00CE6C29" w:rsidP="000C3B6C" w14:paraId="1A25D496" w14:textId="77777777">
            <w:r w:rsidRPr="00CE6C29">
              <w:t>Makati City</w:t>
            </w:r>
          </w:p>
          <w:p w:rsidR="00CE6C29" w:rsidRPr="00CE6C29" w:rsidP="000C3B6C" w14:paraId="38594FCA" w14:textId="77777777">
            <w:r w:rsidRPr="00CE6C29">
              <w:t>Philippines</w:t>
            </w:r>
          </w:p>
          <w:p w:rsidR="00CE6C29" w:rsidRPr="00CE6C29" w:rsidP="000C3B6C" w14:paraId="5556D54B" w14:textId="77777777">
            <w:r w:rsidRPr="00CE6C29">
              <w:t>1200</w:t>
            </w:r>
          </w:p>
          <w:p w:rsidR="00CE6C29" w:rsidRPr="00CE6C29" w:rsidP="000C3B6C" w14:paraId="7F418113" w14:textId="77777777">
            <w:r w:rsidRPr="00CE6C29">
              <w:t>Tel: (632) 751 4700; (632) 7913128</w:t>
            </w:r>
          </w:p>
          <w:p w:rsidR="00CE6C29" w:rsidRPr="00CE6C29" w:rsidP="000C3B6C" w14:paraId="0F01A626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bps@dti.gov.ph</w:t>
              </w:r>
            </w:hyperlink>
          </w:p>
          <w:p w:rsidR="00CE6C29" w:rsidRPr="00CE6C29" w:rsidP="000C3B6C" w14:paraId="4D4FB72D" w14:textId="77777777">
            <w:pPr>
              <w:spacing w:after="120"/>
            </w:pPr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http://www.bps.dti.gov.ph</w:t>
              </w:r>
            </w:hyperlink>
          </w:p>
        </w:tc>
      </w:tr>
    </w:tbl>
    <w:p w:rsidR="00EE3A11" w:rsidRPr="002F6A28" w:rsidP="00887259" w14:paraId="71C9FAB8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75E53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16E68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48DB6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B1B7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E4BC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2792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3AFE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623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G/TBT/N/PHL/371</w:t>
    </w:r>
    <w:bookmarkEnd w:id="0"/>
  </w:p>
  <w:p w:rsidR="009239F7" w:rsidRPr="002F6A28" w:rsidP="009239F7" w14:paraId="4DBED0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5AAE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F323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9500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6833E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9BF1B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31CF6E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46D43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48421D" w14:textId="77777777">
          <w:pPr>
            <w:jc w:val="right"/>
            <w:rPr>
              <w:b/>
              <w:szCs w:val="16"/>
            </w:rPr>
          </w:pPr>
        </w:p>
      </w:tc>
    </w:tr>
    <w:tr w14:paraId="70B268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37CC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BBEE5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G/TBT/N/PHL/371</w:t>
          </w:r>
          <w:bookmarkEnd w:id="2"/>
        </w:p>
      </w:tc>
    </w:tr>
    <w:tr w14:paraId="53BD4F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677B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FDEEC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July 2026</w:t>
          </w:r>
          <w:bookmarkEnd w:id="3"/>
          <w:bookmarkEnd w:id="4"/>
        </w:p>
      </w:tc>
    </w:tr>
    <w:tr w14:paraId="796E8B7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94901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6811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E654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E9A2C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17B0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845B7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10919657">
    <w:abstractNumId w:val="9"/>
  </w:num>
  <w:num w:numId="2" w16cid:durableId="270432198">
    <w:abstractNumId w:val="7"/>
  </w:num>
  <w:num w:numId="3" w16cid:durableId="2118409266">
    <w:abstractNumId w:val="6"/>
  </w:num>
  <w:num w:numId="4" w16cid:durableId="120854187">
    <w:abstractNumId w:val="5"/>
  </w:num>
  <w:num w:numId="5" w16cid:durableId="858739977">
    <w:abstractNumId w:val="4"/>
  </w:num>
  <w:num w:numId="6" w16cid:durableId="80564873">
    <w:abstractNumId w:val="12"/>
  </w:num>
  <w:num w:numId="7" w16cid:durableId="1708145472">
    <w:abstractNumId w:val="11"/>
  </w:num>
  <w:num w:numId="8" w16cid:durableId="1097941148">
    <w:abstractNumId w:val="10"/>
  </w:num>
  <w:num w:numId="9" w16cid:durableId="2131850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198369">
    <w:abstractNumId w:val="13"/>
  </w:num>
  <w:num w:numId="11" w16cid:durableId="2055695587">
    <w:abstractNumId w:val="8"/>
  </w:num>
  <w:num w:numId="12" w16cid:durableId="822743104">
    <w:abstractNumId w:val="3"/>
  </w:num>
  <w:num w:numId="13" w16cid:durableId="671757136">
    <w:abstractNumId w:val="2"/>
  </w:num>
  <w:num w:numId="14" w16cid:durableId="216281948">
    <w:abstractNumId w:val="1"/>
  </w:num>
  <w:num w:numId="15" w16cid:durableId="1211764693">
    <w:abstractNumId w:val="0"/>
  </w:num>
  <w:num w:numId="16" w16cid:durableId="1959744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2C56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01B8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244D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49A5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40D2A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PS@dti.gov.ph" TargetMode="External" /><Relationship Id="rId11" Type="http://schemas.openxmlformats.org/officeDocument/2006/relationships/hyperlink" Target="http://www.bps.dti.gov.ph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PHL/26_03884_00_e.pdf" TargetMode="External" /><Relationship Id="rId7" Type="http://schemas.openxmlformats.org/officeDocument/2006/relationships/hyperlink" Target="https://members.wto.org/crnattachments/2026/TBT/PHL/26_03884_01_e.pdf" TargetMode="External" /><Relationship Id="rId8" Type="http://schemas.openxmlformats.org/officeDocument/2006/relationships/hyperlink" Target="https://www.fda.gov.ph/draft-for-comments-guidelines-on-the-application-for-variation-of-the-issued-product-authorizations-for-medical-and-health-related-devices/" TargetMode="External" /><Relationship Id="rId9" Type="http://schemas.openxmlformats.org/officeDocument/2006/relationships/hyperlink" Target="mailto:cdrrhr-prsdd@fda.gov.p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EA88B-2700-4072-990C-D96C517CA87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2026-07-24T09:41:00Z</dcterms:created>
  <dcterms:modified xsi:type="dcterms:W3CDTF">2026-07-24T09:41:00Z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