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52AE536D" w14:textId="77777777">
      <w:pPr>
        <w:pStyle w:val="Title"/>
        <w:rPr>
          <w:caps w:val="0"/>
          <w:kern w:val="0"/>
        </w:rPr>
      </w:pPr>
      <w:r w:rsidRPr="002F6A28">
        <w:rPr>
          <w:caps w:val="0"/>
          <w:kern w:val="0"/>
        </w:rPr>
        <w:t>NOTIFICATION</w:t>
      </w:r>
    </w:p>
    <w:p w:rsidR="009239F7" w:rsidRPr="002F6A28" w:rsidP="002F6A28" w14:paraId="04C365F3" w14:textId="77777777">
      <w:pPr>
        <w:jc w:val="center"/>
      </w:pPr>
      <w:r w:rsidRPr="002F6A28">
        <w:t>The following notification is being circulated in accordance with Article 10.6</w:t>
      </w:r>
    </w:p>
    <w:p w:rsidR="009239F7" w:rsidRPr="002F6A28" w:rsidP="002F6A28" w14:paraId="572ADD96"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747D5453" w14:textId="77777777" w:rsidTr="00DB13FE">
        <w:tblPrEx>
          <w:tblW w:w="5000" w:type="pct"/>
          <w:tblLayout w:type="fixed"/>
          <w:tblLook w:val="0000"/>
        </w:tblPrEx>
        <w:tc>
          <w:tcPr>
            <w:tcW w:w="607" w:type="dxa"/>
            <w:tcBorders>
              <w:top w:val="double" w:sz="4" w:space="0" w:color="auto"/>
            </w:tcBorders>
          </w:tcPr>
          <w:p w:rsidR="00F85C99" w:rsidRPr="002F6A28" w:rsidP="002F6A28" w14:paraId="2283BA2E" w14:textId="77777777">
            <w:pPr>
              <w:spacing w:before="120" w:after="120"/>
              <w:jc w:val="left"/>
            </w:pPr>
            <w:r w:rsidRPr="002F6A28">
              <w:rPr>
                <w:b/>
              </w:rPr>
              <w:t>1.</w:t>
            </w:r>
          </w:p>
        </w:tc>
        <w:tc>
          <w:tcPr>
            <w:tcW w:w="8373" w:type="dxa"/>
            <w:tcBorders>
              <w:top w:val="double" w:sz="4" w:space="0" w:color="auto"/>
            </w:tcBorders>
          </w:tcPr>
          <w:p w:rsidR="00F85C99" w:rsidRPr="002F6A28" w:rsidP="00C805B6" w14:paraId="328A45C3" w14:textId="77777777">
            <w:pPr>
              <w:spacing w:before="120" w:after="120"/>
            </w:pPr>
            <w:r w:rsidRPr="002F6A28">
              <w:rPr>
                <w:b/>
              </w:rPr>
              <w:t>Notifying Member:</w:t>
            </w:r>
            <w:r w:rsidRPr="00C92678" w:rsidR="00EE3A11">
              <w:t xml:space="preserve"> </w:t>
            </w:r>
            <w:r w:rsidRPr="00C92678" w:rsidR="00EE3A11">
              <w:rPr>
                <w:u w:val="single"/>
              </w:rPr>
              <w:t>PHILIPPINES</w:t>
            </w:r>
          </w:p>
          <w:p w:rsidR="00F85C99" w:rsidRPr="002F6A28" w:rsidP="002F6A28" w14:paraId="7DA31584"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4668CA04" w14:textId="77777777" w:rsidTr="00DB13FE">
        <w:tblPrEx>
          <w:tblW w:w="5000" w:type="pct"/>
          <w:tblLayout w:type="fixed"/>
          <w:tblLook w:val="0000"/>
        </w:tblPrEx>
        <w:tc>
          <w:tcPr>
            <w:tcW w:w="607" w:type="dxa"/>
          </w:tcPr>
          <w:p w:rsidR="00F85C99" w:rsidRPr="002F6A28" w:rsidP="002F6A28" w14:paraId="0718D93C" w14:textId="77777777">
            <w:pPr>
              <w:spacing w:before="120" w:after="120"/>
              <w:jc w:val="left"/>
            </w:pPr>
            <w:r w:rsidRPr="002F6A28">
              <w:rPr>
                <w:b/>
              </w:rPr>
              <w:t>2.</w:t>
            </w:r>
          </w:p>
        </w:tc>
        <w:tc>
          <w:tcPr>
            <w:tcW w:w="8373" w:type="dxa"/>
          </w:tcPr>
          <w:p w:rsidR="00F85C99" w:rsidRPr="002F6A28" w:rsidP="000C3B6C" w14:paraId="5F52879F" w14:textId="77777777">
            <w:pPr>
              <w:spacing w:before="120" w:after="120"/>
            </w:pPr>
            <w:r w:rsidRPr="002F6A28">
              <w:rPr>
                <w:b/>
              </w:rPr>
              <w:t>Agency responsible:</w:t>
            </w:r>
            <w:r w:rsidRPr="00C379C8" w:rsidR="00EE3A11">
              <w:t xml:space="preserve"> </w:t>
            </w:r>
          </w:p>
          <w:p w:rsidR="00EE3A11" w:rsidRPr="00C379C8" w:rsidP="000C3B6C" w14:paraId="7C29BAC5" w14:textId="77777777">
            <w:r w:rsidRPr="00C379C8">
              <w:t>ATTY. PAOLO S. TESTON</w:t>
            </w:r>
          </w:p>
          <w:p w:rsidR="00EE3A11" w:rsidRPr="00C379C8" w:rsidP="000C3B6C" w14:paraId="67EF19DD" w14:textId="77777777">
            <w:r w:rsidRPr="00C379C8">
              <w:t>Director General</w:t>
            </w:r>
          </w:p>
          <w:p w:rsidR="00EE3A11" w:rsidRPr="00C379C8" w:rsidP="000C3B6C" w14:paraId="5AC02EB1" w14:textId="77777777">
            <w:r w:rsidRPr="00C379C8">
              <w:t>Food and Drug Administration</w:t>
            </w:r>
          </w:p>
          <w:p w:rsidR="00EE3A11" w:rsidRPr="00C379C8" w:rsidP="000C3B6C" w14:paraId="19CC1C5D" w14:textId="77777777">
            <w:pPr>
              <w:spacing w:after="120"/>
            </w:pPr>
            <w:r w:rsidRPr="00C379C8">
              <w:t>DEPARTMENT OF HEALTH</w:t>
            </w:r>
          </w:p>
        </w:tc>
      </w:tr>
      <w:tr w14:paraId="2980B1B7" w14:textId="77777777" w:rsidTr="00DB13FE">
        <w:tblPrEx>
          <w:tblW w:w="5000" w:type="pct"/>
          <w:tblLayout w:type="fixed"/>
          <w:tblLook w:val="0000"/>
        </w:tblPrEx>
        <w:tc>
          <w:tcPr>
            <w:tcW w:w="607" w:type="dxa"/>
          </w:tcPr>
          <w:p w:rsidR="00F85C99" w:rsidRPr="002F6A28" w:rsidP="002F6A28" w14:paraId="3D1AD811" w14:textId="77777777">
            <w:pPr>
              <w:spacing w:before="120" w:after="120"/>
              <w:jc w:val="left"/>
              <w:rPr>
                <w:b/>
              </w:rPr>
            </w:pPr>
            <w:r w:rsidRPr="002F6A28">
              <w:rPr>
                <w:b/>
              </w:rPr>
              <w:t>3.</w:t>
            </w:r>
          </w:p>
        </w:tc>
        <w:tc>
          <w:tcPr>
            <w:tcW w:w="8373" w:type="dxa"/>
          </w:tcPr>
          <w:p w:rsidR="00F85C99" w:rsidRPr="0058336F" w:rsidP="002F6A28" w14:paraId="49DFCB22"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1E982AFB" w14:textId="77777777" w:rsidTr="00DB13FE">
        <w:tblPrEx>
          <w:tblW w:w="5000" w:type="pct"/>
          <w:tblLayout w:type="fixed"/>
          <w:tblLook w:val="0000"/>
        </w:tblPrEx>
        <w:tc>
          <w:tcPr>
            <w:tcW w:w="607" w:type="dxa"/>
          </w:tcPr>
          <w:p w:rsidR="00F85C99" w:rsidRPr="002F6A28" w:rsidP="002F6A28" w14:paraId="492E9591" w14:textId="77777777">
            <w:pPr>
              <w:spacing w:before="120" w:after="120"/>
              <w:jc w:val="left"/>
            </w:pPr>
            <w:r w:rsidRPr="002F6A28">
              <w:rPr>
                <w:b/>
              </w:rPr>
              <w:t>4.</w:t>
            </w:r>
          </w:p>
        </w:tc>
        <w:tc>
          <w:tcPr>
            <w:tcW w:w="8373" w:type="dxa"/>
          </w:tcPr>
          <w:p w:rsidR="00F85C99" w:rsidRPr="002F6A28" w:rsidP="002F6A28" w14:paraId="1B2CBE95"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Cosmetic and Household/Urban Hazardous Substances (HUHS) products, specifically those intended for refill</w:t>
            </w:r>
          </w:p>
        </w:tc>
      </w:tr>
      <w:tr w14:paraId="2E41C0D3" w14:textId="77777777" w:rsidTr="00DB13FE">
        <w:tblPrEx>
          <w:tblW w:w="5000" w:type="pct"/>
          <w:tblLayout w:type="fixed"/>
          <w:tblLook w:val="0000"/>
        </w:tblPrEx>
        <w:tc>
          <w:tcPr>
            <w:tcW w:w="607" w:type="dxa"/>
          </w:tcPr>
          <w:p w:rsidR="00F85C99" w:rsidRPr="002F6A28" w:rsidP="002F6A28" w14:paraId="4EB59249" w14:textId="77777777">
            <w:pPr>
              <w:spacing w:before="120" w:after="120"/>
              <w:jc w:val="left"/>
            </w:pPr>
            <w:r w:rsidRPr="002F6A28">
              <w:rPr>
                <w:b/>
              </w:rPr>
              <w:t>5.</w:t>
            </w:r>
          </w:p>
        </w:tc>
        <w:tc>
          <w:tcPr>
            <w:tcW w:w="8373" w:type="dxa"/>
          </w:tcPr>
          <w:p w:rsidR="00F85C99" w:rsidP="002F6A28" w14:paraId="26B9CFB7"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Guidelines of the Adoption of the Regulatory Sandbox for the Implementation of Regulations for the Licensing of Establishments Engaged in Refilling Activity of Certain Cosmetics and Household/Urban Hazardous Substances (HUHS) Products Amending Administrative Order No. 2024-0008; (36 page(s), in English)</w:t>
            </w:r>
          </w:p>
          <w:p w:rsidR="000C3B6C" w:rsidRPr="000C3B6C" w:rsidP="002F6A28" w14:paraId="4162671D"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6C252C" w:rsidRPr="00CE6C29" w:rsidP="002F6A28" w14:paraId="771A8FE2" w14:textId="77777777">
            <w:pPr>
              <w:pBdr>
                <w:top w:val="none" w:sz="0" w:space="4" w:color="auto"/>
                <w:bottom w:val="none" w:sz="0" w:space="4" w:color="auto"/>
              </w:pBdr>
              <w:rPr>
                <w:iCs/>
              </w:rPr>
            </w:pPr>
            <w:hyperlink r:id="rId6" w:tgtFrame="_blank" w:history="1">
              <w:r w:rsidRPr="00CE6C29">
                <w:rPr>
                  <w:iCs/>
                  <w:color w:val="0000FF"/>
                  <w:u w:val="single"/>
                </w:rPr>
                <w:t>https://members.wto.org/crnattachments/2026/TBT/PHL/26_03857_00_e.pdf</w:t>
              </w:r>
            </w:hyperlink>
          </w:p>
          <w:p w:rsidR="006C252C" w:rsidRPr="00CE6C29" w:rsidP="002F6A28" w14:paraId="510ED4D3" w14:textId="77777777">
            <w:pPr>
              <w:rPr>
                <w:iCs/>
              </w:rPr>
            </w:pPr>
            <w:hyperlink r:id="rId7" w:tgtFrame="_blank" w:history="1">
              <w:r w:rsidRPr="00CE6C29">
                <w:rPr>
                  <w:iCs/>
                  <w:color w:val="0000FF"/>
                  <w:u w:val="single"/>
                </w:rPr>
                <w:t>https://www.facebook.com/fdagovph/posts/pfbid02CRPQ7iAa8G34ubrQFmwzEpbJVSyoCzZ7W85nUxQt3bJWkBBseA1d7CJU8nhVPLmql</w:t>
              </w:r>
            </w:hyperlink>
          </w:p>
          <w:p w:rsidR="006C252C" w:rsidRPr="00CE6C29" w:rsidP="002F6A28" w14:paraId="41078914" w14:textId="77777777">
            <w:pPr>
              <w:rPr>
                <w:iCs/>
              </w:rPr>
            </w:pPr>
            <w:hyperlink r:id="rId8" w:tgtFrame="_blank" w:history="1">
              <w:r w:rsidRPr="00CE6C29">
                <w:rPr>
                  <w:iCs/>
                  <w:color w:val="0000FF"/>
                  <w:u w:val="single"/>
                </w:rPr>
                <w:t>https://www.fda.gov.ph/draft-for-comments-submission-of-comments-for-the-draft-policy-provisionally-entitled-guidelines-of-the-adoption-of-the-regulatory-sandbox-for-the-implementation-of-regulations-for-the-l/</w:t>
              </w:r>
            </w:hyperlink>
          </w:p>
          <w:p w:rsidR="00C07B4C" w:rsidP="002F6A28" w14:paraId="5922A9B8" w14:textId="77777777">
            <w:pPr>
              <w:rPr>
                <w:iCs/>
              </w:rPr>
            </w:pPr>
          </w:p>
          <w:p w:rsidR="006C252C" w:rsidRPr="00CE6C29" w:rsidP="002F6A28" w14:paraId="21D5CF70" w14:textId="77777777">
            <w:pPr>
              <w:rPr>
                <w:iCs/>
              </w:rPr>
            </w:pPr>
            <w:r w:rsidRPr="00CE6C29">
              <w:rPr>
                <w:iCs/>
              </w:rPr>
              <w:t>ATTY. PAOLO S. TESTON</w:t>
            </w:r>
          </w:p>
          <w:p w:rsidR="006C252C" w:rsidRPr="00CE6C29" w:rsidP="002F6A28" w14:paraId="2283BC21" w14:textId="77777777">
            <w:pPr>
              <w:rPr>
                <w:iCs/>
              </w:rPr>
            </w:pPr>
            <w:r w:rsidRPr="00CE6C29">
              <w:rPr>
                <w:iCs/>
              </w:rPr>
              <w:t>Director General</w:t>
            </w:r>
          </w:p>
          <w:p w:rsidR="006C252C" w:rsidRPr="00CE6C29" w:rsidP="002F6A28" w14:paraId="32D4F98F" w14:textId="77777777">
            <w:pPr>
              <w:rPr>
                <w:iCs/>
              </w:rPr>
            </w:pPr>
            <w:r w:rsidRPr="00CE6C29">
              <w:rPr>
                <w:iCs/>
              </w:rPr>
              <w:t>Food and Drug Administration</w:t>
            </w:r>
          </w:p>
          <w:p w:rsidR="006C252C" w:rsidRPr="00CE6C29" w:rsidP="002F6A28" w14:paraId="2F76A5F0" w14:textId="77777777">
            <w:pPr>
              <w:rPr>
                <w:iCs/>
              </w:rPr>
            </w:pPr>
            <w:r w:rsidRPr="00CE6C29">
              <w:rPr>
                <w:iCs/>
              </w:rPr>
              <w:t>DEPARTMENT OF HEALTH</w:t>
            </w:r>
          </w:p>
          <w:p w:rsidR="006C252C" w:rsidRPr="00CE6C29" w:rsidP="002F6A28" w14:paraId="75C8AA7F" w14:textId="77777777">
            <w:pPr>
              <w:spacing w:after="120"/>
              <w:rPr>
                <w:iCs/>
              </w:rPr>
            </w:pPr>
            <w:hyperlink r:id="rId9" w:history="1">
              <w:r w:rsidRPr="00CE6C29">
                <w:rPr>
                  <w:iCs/>
                  <w:color w:val="0000FF"/>
                  <w:u w:val="single"/>
                </w:rPr>
                <w:t>cchuhsrr-policy@fda.gov.ph</w:t>
              </w:r>
            </w:hyperlink>
            <w:r w:rsidRPr="00CE6C29" w:rsidR="009802CD">
              <w:rPr>
                <w:iCs/>
              </w:rPr>
              <w:t xml:space="preserve">; </w:t>
            </w:r>
            <w:hyperlink r:id="rId10" w:history="1">
              <w:r w:rsidRPr="00CE6C29">
                <w:rPr>
                  <w:iCs/>
                  <w:color w:val="0000FF"/>
                  <w:u w:val="single"/>
                </w:rPr>
                <w:t>BPS@dti.gov.ph</w:t>
              </w:r>
            </w:hyperlink>
          </w:p>
        </w:tc>
      </w:tr>
      <w:tr w14:paraId="5A635D8C" w14:textId="77777777" w:rsidTr="00DB13FE">
        <w:tblPrEx>
          <w:tblW w:w="5000" w:type="pct"/>
          <w:tblLayout w:type="fixed"/>
          <w:tblLook w:val="0000"/>
        </w:tblPrEx>
        <w:tc>
          <w:tcPr>
            <w:tcW w:w="607" w:type="dxa"/>
          </w:tcPr>
          <w:p w:rsidR="00F85C99" w:rsidRPr="002F6A28" w:rsidP="002F6A28" w14:paraId="2B8F2DB4" w14:textId="77777777">
            <w:pPr>
              <w:spacing w:before="120" w:after="120"/>
              <w:jc w:val="left"/>
              <w:rPr>
                <w:b/>
              </w:rPr>
            </w:pPr>
            <w:r w:rsidRPr="002F6A28">
              <w:rPr>
                <w:b/>
              </w:rPr>
              <w:t>6.</w:t>
            </w:r>
          </w:p>
        </w:tc>
        <w:tc>
          <w:tcPr>
            <w:tcW w:w="8373" w:type="dxa"/>
          </w:tcPr>
          <w:p w:rsidR="00F85C99" w:rsidRPr="002F6A28" w:rsidP="002F6A28" w14:paraId="2ED91E12" w14:textId="77777777">
            <w:pPr>
              <w:spacing w:before="120" w:after="120"/>
              <w:rPr>
                <w:b/>
              </w:rPr>
            </w:pPr>
            <w:r w:rsidRPr="002F6A28">
              <w:rPr>
                <w:b/>
              </w:rPr>
              <w:t>Description of content:</w:t>
            </w:r>
            <w:r w:rsidRPr="00C379C8" w:rsidR="00FE448B">
              <w:t xml:space="preserve"> The proposed issuance aims to provide guidelines for the adoption of a regulatory sandbox approach for the implementation of regulations for the licensing of establishments engaged in the refilling of certain cosmetic and HUHS products amending the DOH Administrative Order No. 2024-0008 entitled "Guidelines on the Licensing of Establishments Engaged in Refilling Activity of Certain Cosmetics and Household/Urban Hazardous Substances (HUHS) Products".</w:t>
            </w:r>
          </w:p>
        </w:tc>
      </w:tr>
      <w:tr w14:paraId="2ADEB5BE" w14:textId="77777777" w:rsidTr="00DB13FE">
        <w:tblPrEx>
          <w:tblW w:w="5000" w:type="pct"/>
          <w:tblLayout w:type="fixed"/>
          <w:tblLook w:val="0000"/>
        </w:tblPrEx>
        <w:tc>
          <w:tcPr>
            <w:tcW w:w="607" w:type="dxa"/>
          </w:tcPr>
          <w:p w:rsidR="00F85C99" w:rsidRPr="002F6A28" w:rsidP="002F6A28" w14:paraId="3108A8DD" w14:textId="77777777">
            <w:pPr>
              <w:spacing w:before="120" w:after="120"/>
              <w:jc w:val="left"/>
              <w:rPr>
                <w:b/>
              </w:rPr>
            </w:pPr>
            <w:r w:rsidRPr="002F6A28">
              <w:rPr>
                <w:b/>
              </w:rPr>
              <w:t>7.</w:t>
            </w:r>
          </w:p>
        </w:tc>
        <w:tc>
          <w:tcPr>
            <w:tcW w:w="8373" w:type="dxa"/>
          </w:tcPr>
          <w:p w:rsidR="00F85C99" w:rsidRPr="002F6A28" w:rsidP="002F6A28" w14:paraId="3442FA6E" w14:textId="77777777">
            <w:pPr>
              <w:spacing w:before="120" w:after="120"/>
              <w:rPr>
                <w:b/>
              </w:rPr>
            </w:pPr>
            <w:r w:rsidRPr="002F6A28">
              <w:rPr>
                <w:b/>
              </w:rPr>
              <w:t>Objective and rationale, including the nature of urgent problems where applicable:</w:t>
            </w:r>
            <w:r w:rsidRPr="00C379C8" w:rsidR="00EE3A11">
              <w:t xml:space="preserve"> The DOH Administrative Order (AO) No. 2024-0008 was issued to act as an enabling regulatory policy to promote and enable the mainstreaming of refilling systems for cosmetics and household/urban hazardous substances (HUHS) products, while ensuring public health through standards of safety, efficacy, and quality. However, regulatory impact assessments and corresponding consultations revealed several barriers, such as disproportionate compliance cost for micro, small, and medium enterprises, limits in allowable refilling operations and restrictions on subcontracting and franchising, which may prevent the mainstreaming of refilling systems and could constrain expansion of refilling operations.</w:t>
            </w:r>
          </w:p>
          <w:p w:rsidR="00EE3A11" w:rsidRPr="00C379C8" w:rsidP="002F6A28" w14:paraId="088E2721" w14:textId="77777777">
            <w:pPr>
              <w:spacing w:before="120" w:after="120"/>
            </w:pPr>
            <w:r w:rsidRPr="00C379C8">
              <w:br/>
            </w:r>
            <w:r w:rsidRPr="00C379C8">
              <w:t>While it is recognized that the original guidelines intended to streamline the regulations governing refilling by allowing simplified regulatory obligations of manufacturers, traders and distributors, and ease in regulatory administration and enforcement, the afore-mentioned barriers reveal the need to consider other policy options to ensure the positive benefits of mainstreamed and national-scale refilling activities. It was in this view that alternative regulatory options, including the regulatory sandbo</w:t>
            </w:r>
            <w:r w:rsidRPr="00C379C8">
              <w:t>x approach, were considered to implement policy changes.</w:t>
            </w:r>
          </w:p>
          <w:p w:rsidR="00EE3A11" w:rsidRPr="00C379C8" w:rsidP="002F6A28" w14:paraId="507FD64F" w14:textId="77777777">
            <w:pPr>
              <w:spacing w:before="120" w:after="120"/>
            </w:pPr>
            <w:r w:rsidRPr="00C379C8">
              <w:br/>
            </w:r>
            <w:r w:rsidRPr="00C379C8">
              <w:t>A regulatory sandbox allows participants to pilot-test innovative products or services with regulatory relief or flexibility in a controlled and time-bound environment. It is undertaken with a view of developing evidence to support the appropriate regulatory design for new technologies. Locally, such approach has been utilized in various sectors, such as the Bangko Sentral ng Pilipinas for financial products and services, this Department for telemedicine, and the Philippine Health Insurance Corporation for</w:t>
            </w:r>
            <w:r w:rsidRPr="00C379C8">
              <w:t xml:space="preserve"> benefits and payments reforms, among others.</w:t>
            </w:r>
          </w:p>
          <w:p w:rsidR="00EE3A11" w:rsidRPr="00C379C8" w:rsidP="002F6A28" w14:paraId="534D6CD0" w14:textId="77777777">
            <w:pPr>
              <w:spacing w:before="120" w:after="120"/>
            </w:pPr>
            <w:r w:rsidRPr="00C379C8">
              <w:br/>
              <w:t>Consistent with the principles of ensuring ease of doing business and efficient government service delivery under Republic Act No. 11032, the aim to ensure public health and consumer safety under Republic Act Nos. 7394 and 9711, and the promotion of circular economy principles under Republic Act No. 11898, a regulatory sandbox approach for the improvement and implementation of refilling regulations is hereby adopted.</w:t>
            </w:r>
          </w:p>
          <w:p w:rsidR="00EE3A11" w:rsidRPr="00C379C8" w:rsidP="002F6A28" w14:paraId="5C5458C7" w14:textId="77777777">
            <w:pPr>
              <w:spacing w:before="120" w:after="120"/>
            </w:pPr>
            <w:r w:rsidRPr="00C379C8">
              <w:br/>
            </w:r>
            <w:r w:rsidRPr="00C379C8">
              <w:t>Hence, the proposed policy aims to establish the regulatory sandbox framework for the refilling activity of certain cosmetics and HUHS products, while accommodating varying levels of technological readiness of innovative refilling models; and to gather empirical data to inform the development of risk-proportionate regulations for refilling models.; Protection of human health or safety</w:t>
            </w:r>
          </w:p>
        </w:tc>
      </w:tr>
      <w:tr w14:paraId="72035D25" w14:textId="77777777" w:rsidTr="00DB13FE">
        <w:tblPrEx>
          <w:tblW w:w="5000" w:type="pct"/>
          <w:tblLayout w:type="fixed"/>
          <w:tblLook w:val="0000"/>
        </w:tblPrEx>
        <w:tc>
          <w:tcPr>
            <w:tcW w:w="607" w:type="dxa"/>
          </w:tcPr>
          <w:p w:rsidR="00F85C99" w:rsidRPr="002F6A28" w:rsidP="009E75ED" w14:paraId="3CEEFFA2" w14:textId="77777777">
            <w:pPr>
              <w:spacing w:before="120" w:after="120"/>
              <w:jc w:val="left"/>
              <w:rPr>
                <w:b/>
              </w:rPr>
            </w:pPr>
            <w:r w:rsidRPr="002F6A28">
              <w:rPr>
                <w:b/>
              </w:rPr>
              <w:t>8.</w:t>
            </w:r>
          </w:p>
        </w:tc>
        <w:tc>
          <w:tcPr>
            <w:tcW w:w="8373" w:type="dxa"/>
          </w:tcPr>
          <w:p w:rsidR="000C3B6C" w:rsidRPr="00EC00D2" w:rsidP="007F13E8" w14:paraId="37D1B9E0" w14:textId="77777777">
            <w:pPr>
              <w:spacing w:before="120" w:after="120"/>
              <w:rPr>
                <w:bCs/>
              </w:rPr>
            </w:pPr>
            <w:r w:rsidRPr="002F6A28">
              <w:rPr>
                <w:b/>
              </w:rPr>
              <w:t>Relevant documents:</w:t>
            </w:r>
            <w:r w:rsidRPr="002F6A28" w:rsidR="00EE3A11">
              <w:t xml:space="preserve"> </w:t>
            </w:r>
          </w:p>
          <w:p w:rsidR="00EE3A11" w:rsidRPr="002F6A28" w:rsidP="007F13E8" w14:paraId="03D49FEB" w14:textId="77777777">
            <w:pPr>
              <w:numPr>
                <w:ilvl w:val="0"/>
                <w:numId w:val="16"/>
              </w:numPr>
              <w:spacing w:before="120" w:after="120"/>
            </w:pPr>
            <w:r w:rsidRPr="002F6A28">
              <w:t>Republic Act (RA) No. 7394 as amended by RA No. 9711 and its Implementing Rules and Regulations (IRR): The Food and Drug Administration (FDA) Act of 2009</w:t>
            </w:r>
          </w:p>
          <w:p w:rsidR="00EE3A11" w:rsidRPr="002F6A28" w:rsidP="007F13E8" w14:paraId="0F07B02C" w14:textId="77777777">
            <w:pPr>
              <w:numPr>
                <w:ilvl w:val="0"/>
                <w:numId w:val="16"/>
              </w:numPr>
              <w:spacing w:before="120" w:after="120"/>
            </w:pPr>
            <w:r w:rsidRPr="002F6A28">
              <w:t>RA No. 11032: Ease of Doing Business and Efficient Government Service Delivery Act of 2018</w:t>
            </w:r>
          </w:p>
          <w:p w:rsidR="00EE3A11" w:rsidRPr="002F6A28" w:rsidP="007F13E8" w14:paraId="34FE4B7F" w14:textId="77777777">
            <w:pPr>
              <w:numPr>
                <w:ilvl w:val="0"/>
                <w:numId w:val="16"/>
              </w:numPr>
              <w:spacing w:before="120" w:after="120"/>
            </w:pPr>
            <w:r w:rsidRPr="002F6A28">
              <w:t>RA No. 11898: Extended Producer Responsibility Act of 2022</w:t>
            </w:r>
          </w:p>
          <w:p w:rsidR="00EE3A11" w:rsidRPr="002F6A28" w:rsidP="007F13E8" w14:paraId="1AA313DE" w14:textId="77777777">
            <w:pPr>
              <w:numPr>
                <w:ilvl w:val="0"/>
                <w:numId w:val="16"/>
              </w:numPr>
              <w:spacing w:before="120" w:after="120"/>
            </w:pPr>
            <w:r w:rsidRPr="002F6A28">
              <w:t>DOH AO No. 2024-0008: Guidelines on the Licensing of Establishments Engaged in Refilling Activity of Certain Cosmetics and Household/Urban Hazardous Substances (HUHS) Products</w:t>
            </w:r>
          </w:p>
          <w:p w:rsidR="00EE3A11" w:rsidRPr="002F6A28" w:rsidP="007F13E8" w14:paraId="7D3DDF1F" w14:textId="77777777">
            <w:pPr>
              <w:numPr>
                <w:ilvl w:val="0"/>
                <w:numId w:val="16"/>
              </w:numPr>
              <w:spacing w:before="120" w:after="120"/>
            </w:pPr>
            <w:r w:rsidRPr="002F6A28">
              <w:t>DOH AO No. 2024-0015: Prescribing the Rules, Requirements, and Procedures in the Application for License to Operate of Covered Health Product Establishments with the Food and Drug Administration Repealing for the Purpose Administrative Order No. 2020-0017</w:t>
            </w:r>
          </w:p>
          <w:p w:rsidR="00EE3A11" w:rsidRPr="002F6A28" w:rsidP="007F13E8" w14:paraId="49A5A04C" w14:textId="77777777">
            <w:pPr>
              <w:numPr>
                <w:ilvl w:val="0"/>
                <w:numId w:val="16"/>
              </w:numPr>
              <w:spacing w:before="120" w:after="120"/>
            </w:pPr>
            <w:r w:rsidRPr="002F6A28">
              <w:t xml:space="preserve">DOH AO No. 2019-0019: Reinstatement of Requirements of Licensing as Importers, Exporters, Manufacturers, Toll Manufacturers, Wholesalers, Distributors, Retailers, or Re-Packers of Those Engaged in Certain </w:t>
            </w:r>
            <w:r w:rsidRPr="002F6A28">
              <w:t>Household/Urban Hazardous Substances, and from the Requirement of Prior Registration and/or Notification of Said Products</w:t>
            </w:r>
          </w:p>
        </w:tc>
      </w:tr>
      <w:tr w14:paraId="019654E5" w14:textId="77777777" w:rsidTr="00DB13FE">
        <w:tblPrEx>
          <w:tblW w:w="5000" w:type="pct"/>
          <w:tblLayout w:type="fixed"/>
          <w:tblLook w:val="0000"/>
        </w:tblPrEx>
        <w:tc>
          <w:tcPr>
            <w:tcW w:w="607" w:type="dxa"/>
          </w:tcPr>
          <w:p w:rsidR="00EE3A11" w:rsidRPr="002F6A28" w:rsidP="002F6A28" w14:paraId="061956F8" w14:textId="77777777">
            <w:pPr>
              <w:spacing w:before="120" w:after="120"/>
              <w:jc w:val="left"/>
              <w:rPr>
                <w:b/>
              </w:rPr>
            </w:pPr>
            <w:r w:rsidRPr="002F6A28">
              <w:rPr>
                <w:b/>
              </w:rPr>
              <w:t>9.</w:t>
            </w:r>
          </w:p>
        </w:tc>
        <w:tc>
          <w:tcPr>
            <w:tcW w:w="8373" w:type="dxa"/>
          </w:tcPr>
          <w:p w:rsidR="00EE3A11" w:rsidRPr="002F6A28" w:rsidP="008953C4" w14:paraId="152A2BC2" w14:textId="77777777">
            <w:pPr>
              <w:spacing w:before="120" w:after="120"/>
            </w:pPr>
            <w:r w:rsidRPr="002F6A28">
              <w:rPr>
                <w:b/>
              </w:rPr>
              <w:t>Proposed date of adoption:</w:t>
            </w:r>
            <w:r w:rsidRPr="00C379C8">
              <w:t xml:space="preserve"> This Circular shall take effect fifteen (15) days after its publication in a newspaper of general circulation and upon filing with the University of the Philippines Office of the National Administrative Register.</w:t>
            </w:r>
          </w:p>
          <w:p w:rsidR="00EE3A11" w:rsidRPr="002F6A28" w:rsidP="008953C4" w14:paraId="0DDD65C8" w14:textId="77777777">
            <w:pPr>
              <w:spacing w:after="120"/>
            </w:pPr>
            <w:r w:rsidRPr="002F6A28">
              <w:rPr>
                <w:b/>
              </w:rPr>
              <w:t>Proposed date of entry into force:</w:t>
            </w:r>
            <w:r w:rsidRPr="00C379C8">
              <w:t xml:space="preserve"> To be determined</w:t>
            </w:r>
          </w:p>
        </w:tc>
      </w:tr>
      <w:tr w14:paraId="33D6FD89" w14:textId="77777777" w:rsidTr="00DB13FE">
        <w:tblPrEx>
          <w:tblW w:w="5000" w:type="pct"/>
          <w:tblLayout w:type="fixed"/>
          <w:tblLook w:val="0000"/>
        </w:tblPrEx>
        <w:tc>
          <w:tcPr>
            <w:tcW w:w="607" w:type="dxa"/>
            <w:tcBorders>
              <w:bottom w:val="double" w:sz="4" w:space="0" w:color="auto"/>
            </w:tcBorders>
          </w:tcPr>
          <w:p w:rsidR="00F85C99" w:rsidRPr="002F6A28" w:rsidP="002F6A28" w14:paraId="7F43813F"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5BC24699"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471B3293" w14:textId="77777777">
            <w:pPr>
              <w:spacing w:before="120" w:after="120"/>
              <w:rPr>
                <w:bCs/>
              </w:rPr>
            </w:pPr>
            <w:r w:rsidRPr="002F6A28">
              <w:rPr>
                <w:b/>
              </w:rPr>
              <w:t>Final date for comments:</w:t>
            </w:r>
            <w:r w:rsidRPr="00C379C8" w:rsidR="00EE3A11">
              <w:t xml:space="preserve"> 31 July 2026</w:t>
            </w:r>
          </w:p>
          <w:p w:rsidR="000C3B6C" w:rsidRPr="00E3324D" w:rsidP="000C3B6C" w14:paraId="797006D1"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0C3B6C" w:rsidRPr="002F6A28" w:rsidP="000C3B6C" w14:paraId="59C282D3"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1621BF15" w14:textId="77777777">
            <w:r w:rsidRPr="00CE6C29">
              <w:t>Mr. Neil P. Catajay</w:t>
            </w:r>
          </w:p>
          <w:p w:rsidR="00CE6C29" w:rsidRPr="00CE6C29" w:rsidP="000C3B6C" w14:paraId="27AC47B8" w14:textId="77777777">
            <w:r w:rsidRPr="00CE6C29">
              <w:t>Director</w:t>
            </w:r>
          </w:p>
          <w:p w:rsidR="00CE6C29" w:rsidRPr="00CE6C29" w:rsidP="000C3B6C" w14:paraId="17483570" w14:textId="77777777">
            <w:r w:rsidRPr="00CE6C29">
              <w:t>Bureau of Philippine Standards</w:t>
            </w:r>
          </w:p>
          <w:p w:rsidR="00CE6C29" w:rsidRPr="00CE6C29" w:rsidP="000C3B6C" w14:paraId="4836CA20" w14:textId="77777777">
            <w:r w:rsidRPr="00CE6C29">
              <w:t>Department of Trade and Industry</w:t>
            </w:r>
          </w:p>
          <w:p w:rsidR="00CE6C29" w:rsidRPr="00CE6C29" w:rsidP="000C3B6C" w14:paraId="78F50F8E" w14:textId="77777777">
            <w:r w:rsidRPr="00CE6C29">
              <w:t>3F Trade and Industry Building</w:t>
            </w:r>
          </w:p>
          <w:p w:rsidR="00CE6C29" w:rsidRPr="00CE6C29" w:rsidP="000C3B6C" w14:paraId="6C62A3EF" w14:textId="77777777">
            <w:r w:rsidRPr="00CE6C29">
              <w:t>361 Sen. Gil Puyat Avenue</w:t>
            </w:r>
          </w:p>
          <w:p w:rsidR="00CE6C29" w:rsidRPr="00CE6C29" w:rsidP="000C3B6C" w14:paraId="1F37F0A7" w14:textId="77777777">
            <w:r w:rsidRPr="00CE6C29">
              <w:t>Makati City</w:t>
            </w:r>
          </w:p>
          <w:p w:rsidR="00CE6C29" w:rsidRPr="00CE6C29" w:rsidP="000C3B6C" w14:paraId="4017EEA4" w14:textId="77777777">
            <w:r w:rsidRPr="00CE6C29">
              <w:t>Philippines</w:t>
            </w:r>
          </w:p>
          <w:p w:rsidR="00CE6C29" w:rsidRPr="00CE6C29" w:rsidP="000C3B6C" w14:paraId="712AD75A" w14:textId="77777777">
            <w:r w:rsidRPr="00CE6C29">
              <w:t>1200</w:t>
            </w:r>
          </w:p>
          <w:p w:rsidR="00CE6C29" w:rsidRPr="00CE6C29" w:rsidP="000C3B6C" w14:paraId="1394865E" w14:textId="77777777">
            <w:r w:rsidRPr="00CE6C29">
              <w:t>Tel: (632) 751 4700; (632) 7913128</w:t>
            </w:r>
          </w:p>
          <w:p w:rsidR="00CE6C29" w:rsidRPr="00CE6C29" w:rsidP="000C3B6C" w14:paraId="43F38290" w14:textId="77777777">
            <w:r w:rsidRPr="00CE6C29">
              <w:t xml:space="preserve">Email: </w:t>
            </w:r>
            <w:hyperlink r:id="rId10" w:history="1">
              <w:r w:rsidRPr="00CE6C29">
                <w:rPr>
                  <w:color w:val="0000FF"/>
                  <w:u w:val="single"/>
                </w:rPr>
                <w:t>bps@dti.gov.ph</w:t>
              </w:r>
            </w:hyperlink>
          </w:p>
          <w:p w:rsidR="00CE6C29" w:rsidRPr="00CE6C29" w:rsidP="000C3B6C" w14:paraId="6FE4B3EA" w14:textId="77777777">
            <w:pPr>
              <w:spacing w:after="120"/>
            </w:pPr>
            <w:r w:rsidRPr="00CE6C29">
              <w:t xml:space="preserve">Website: </w:t>
            </w:r>
            <w:hyperlink r:id="rId11" w:tgtFrame="_blank" w:history="1">
              <w:r w:rsidRPr="00CE6C29">
                <w:rPr>
                  <w:color w:val="0000FF"/>
                  <w:u w:val="single"/>
                </w:rPr>
                <w:t>http://www.bps.dti.gov.ph</w:t>
              </w:r>
            </w:hyperlink>
          </w:p>
        </w:tc>
      </w:tr>
    </w:tbl>
    <w:p w:rsidR="00EE3A11" w:rsidRPr="002F6A28" w:rsidP="00887259" w14:paraId="59C94F67" w14:textId="77777777">
      <w:pPr>
        <w:jc w:val="center"/>
      </w:pPr>
    </w:p>
    <w:sectPr w:rsidSect="00760DB3">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D60668A"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0694831"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7906120E"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7E17C1F" w14:textId="77777777">
    <w:pPr>
      <w:pStyle w:val="Header"/>
      <w:pBdr>
        <w:bottom w:val="single" w:sz="4" w:space="1" w:color="auto"/>
      </w:pBdr>
      <w:tabs>
        <w:tab w:val="clear" w:pos="4513"/>
        <w:tab w:val="clear" w:pos="9027"/>
      </w:tabs>
      <w:jc w:val="center"/>
    </w:pPr>
    <w:r w:rsidRPr="002F6A28">
      <w:t>tbtSymbol</w:t>
    </w:r>
  </w:p>
  <w:p w:rsidR="009239F7" w:rsidRPr="002F6A28" w:rsidP="009239F7" w14:paraId="10638483" w14:textId="77777777">
    <w:pPr>
      <w:pStyle w:val="Header"/>
      <w:pBdr>
        <w:bottom w:val="single" w:sz="4" w:space="1" w:color="auto"/>
      </w:pBdr>
      <w:tabs>
        <w:tab w:val="clear" w:pos="4513"/>
        <w:tab w:val="clear" w:pos="9027"/>
      </w:tabs>
      <w:jc w:val="center"/>
    </w:pPr>
  </w:p>
  <w:p w:rsidR="009239F7" w:rsidRPr="002F6A28" w:rsidP="009239F7" w14:paraId="54DF417F"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13E08FEA"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7864C74" w14:textId="77777777">
    <w:pPr>
      <w:pStyle w:val="Header"/>
      <w:pBdr>
        <w:bottom w:val="single" w:sz="4" w:space="1" w:color="auto"/>
      </w:pBdr>
      <w:tabs>
        <w:tab w:val="clear" w:pos="4513"/>
        <w:tab w:val="clear" w:pos="9027"/>
      </w:tabs>
      <w:jc w:val="center"/>
    </w:pPr>
    <w:bookmarkStart w:id="0" w:name="spsSymbolHeader"/>
    <w:r w:rsidRPr="002F6A28">
      <w:t>G/TBT/N/PHL/370</w:t>
    </w:r>
    <w:bookmarkEnd w:id="0"/>
  </w:p>
  <w:p w:rsidR="009239F7" w:rsidRPr="002F6A28" w:rsidP="009239F7" w14:paraId="662FD44E" w14:textId="77777777">
    <w:pPr>
      <w:pStyle w:val="Header"/>
      <w:pBdr>
        <w:bottom w:val="single" w:sz="4" w:space="1" w:color="auto"/>
      </w:pBdr>
      <w:tabs>
        <w:tab w:val="clear" w:pos="4513"/>
        <w:tab w:val="clear" w:pos="9027"/>
      </w:tabs>
      <w:jc w:val="center"/>
    </w:pPr>
  </w:p>
  <w:p w:rsidR="009239F7" w:rsidRPr="002F6A28" w:rsidP="009239F7" w14:paraId="53F0B031"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3</w:t>
    </w:r>
    <w:r w:rsidRPr="002F6A28">
      <w:fldChar w:fldCharType="end"/>
    </w:r>
    <w:r w:rsidRPr="002F6A28">
      <w:t xml:space="preserve"> -</w:t>
    </w:r>
  </w:p>
  <w:p w:rsidR="009239F7" w:rsidRPr="002F6A28" w:rsidP="009239F7" w14:paraId="53A42B4E"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97A187C"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61D8652F"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45AEAEF0" w14:textId="77777777">
          <w:pPr>
            <w:jc w:val="right"/>
            <w:rPr>
              <w:b/>
              <w:color w:val="FF0000"/>
              <w:szCs w:val="16"/>
            </w:rPr>
          </w:pPr>
        </w:p>
      </w:tc>
    </w:tr>
    <w:bookmarkEnd w:id="1"/>
    <w:tr w14:paraId="0A46D5FC"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3C0A2B15"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6D239CE4" w14:textId="77777777">
          <w:pPr>
            <w:jc w:val="right"/>
            <w:rPr>
              <w:b/>
              <w:szCs w:val="16"/>
            </w:rPr>
          </w:pPr>
        </w:p>
      </w:tc>
    </w:tr>
    <w:tr w14:paraId="3D3FB5CF"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5A8BE176"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43555F8E" w14:textId="77777777">
          <w:pPr>
            <w:jc w:val="right"/>
            <w:rPr>
              <w:b/>
              <w:szCs w:val="16"/>
            </w:rPr>
          </w:pPr>
          <w:bookmarkStart w:id="2" w:name="bmkSymbols"/>
          <w:r w:rsidRPr="002F6A28">
            <w:rPr>
              <w:b/>
              <w:szCs w:val="16"/>
            </w:rPr>
            <w:t>G/TBT/N/PHL/370</w:t>
          </w:r>
          <w:bookmarkEnd w:id="2"/>
        </w:p>
      </w:tc>
    </w:tr>
    <w:tr w14:paraId="5FE048C5"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502E9D44" w14:textId="77777777"/>
      </w:tc>
      <w:tc>
        <w:tcPr>
          <w:tcW w:w="5448" w:type="dxa"/>
          <w:gridSpan w:val="2"/>
          <w:shd w:val="clear" w:color="auto" w:fill="FFFFFF"/>
          <w:tcMar>
            <w:left w:w="108" w:type="dxa"/>
            <w:right w:w="108" w:type="dxa"/>
          </w:tcMar>
          <w:vAlign w:val="center"/>
        </w:tcPr>
        <w:p w:rsidR="00ED54E0" w:rsidRPr="009239F7" w:rsidP="00B801E9" w14:paraId="27541617" w14:textId="77777777">
          <w:pPr>
            <w:jc w:val="right"/>
            <w:rPr>
              <w:szCs w:val="16"/>
            </w:rPr>
          </w:pPr>
          <w:bookmarkStart w:id="3" w:name="spsDateDistribution"/>
          <w:bookmarkStart w:id="4" w:name="bmkDate"/>
          <w:r w:rsidRPr="009239F7">
            <w:rPr>
              <w:szCs w:val="16"/>
            </w:rPr>
            <w:t>23 July 2026</w:t>
          </w:r>
          <w:bookmarkEnd w:id="3"/>
          <w:bookmarkEnd w:id="4"/>
        </w:p>
      </w:tc>
    </w:tr>
    <w:tr w14:paraId="3011CABA"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3A54944B" w14:textId="77777777">
          <w:pPr>
            <w:jc w:val="left"/>
            <w:rPr>
              <w:b/>
            </w:rPr>
          </w:pPr>
          <w:bookmarkStart w:id="5" w:name="bmkSerial"/>
          <w:r>
            <w:rPr>
              <w:rFonts w:ascii="Verdana" w:eastAsia="Verdana" w:hAnsi="Verdana" w:cs="Verdana"/>
              <w:b w:val="0"/>
              <w:color w:val="FF0000"/>
              <w:sz w:val="18"/>
            </w:rPr>
            <w:t>(26-5306)</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59C9DC35"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3</w:t>
          </w:r>
          <w:r w:rsidRPr="002F6A28">
            <w:rPr>
              <w:bCs/>
              <w:szCs w:val="16"/>
            </w:rPr>
            <w:fldChar w:fldCharType="end"/>
          </w:r>
          <w:bookmarkEnd w:id="6"/>
        </w:p>
      </w:tc>
    </w:tr>
    <w:tr w14:paraId="0672A433"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359B0382"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16E26613"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7711DBF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25053619">
    <w:abstractNumId w:val="9"/>
  </w:num>
  <w:num w:numId="2" w16cid:durableId="1509127701">
    <w:abstractNumId w:val="7"/>
  </w:num>
  <w:num w:numId="3" w16cid:durableId="809324420">
    <w:abstractNumId w:val="6"/>
  </w:num>
  <w:num w:numId="4" w16cid:durableId="1769963347">
    <w:abstractNumId w:val="5"/>
  </w:num>
  <w:num w:numId="5" w16cid:durableId="1865245073">
    <w:abstractNumId w:val="4"/>
  </w:num>
  <w:num w:numId="6" w16cid:durableId="111172568">
    <w:abstractNumId w:val="12"/>
  </w:num>
  <w:num w:numId="7" w16cid:durableId="642778639">
    <w:abstractNumId w:val="11"/>
  </w:num>
  <w:num w:numId="8" w16cid:durableId="1971207618">
    <w:abstractNumId w:val="10"/>
  </w:num>
  <w:num w:numId="9" w16cid:durableId="2507033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60527478">
    <w:abstractNumId w:val="13"/>
  </w:num>
  <w:num w:numId="11" w16cid:durableId="1234199399">
    <w:abstractNumId w:val="8"/>
  </w:num>
  <w:num w:numId="12" w16cid:durableId="2052487327">
    <w:abstractNumId w:val="3"/>
  </w:num>
  <w:num w:numId="13" w16cid:durableId="1660689642">
    <w:abstractNumId w:val="2"/>
  </w:num>
  <w:num w:numId="14" w16cid:durableId="699748837">
    <w:abstractNumId w:val="1"/>
  </w:num>
  <w:num w:numId="15" w16cid:durableId="53507620">
    <w:abstractNumId w:val="0"/>
  </w:num>
  <w:num w:numId="16" w16cid:durableId="112493077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00A1B"/>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5F6E57"/>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C252C"/>
    <w:rsid w:val="006D6F16"/>
    <w:rsid w:val="006E4336"/>
    <w:rsid w:val="006F35A6"/>
    <w:rsid w:val="006F3CB4"/>
    <w:rsid w:val="006F5826"/>
    <w:rsid w:val="006F731C"/>
    <w:rsid w:val="00700181"/>
    <w:rsid w:val="00711064"/>
    <w:rsid w:val="0071394F"/>
    <w:rsid w:val="007141CF"/>
    <w:rsid w:val="00725DF8"/>
    <w:rsid w:val="00730370"/>
    <w:rsid w:val="00736D06"/>
    <w:rsid w:val="00740CD8"/>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02C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C2B12"/>
    <w:rsid w:val="00BD5D17"/>
    <w:rsid w:val="00BE5468"/>
    <w:rsid w:val="00BF59EC"/>
    <w:rsid w:val="00C07B4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0B4"/>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B3A30"/>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9F15E2C"/>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BPS@dti.gov.ph" TargetMode="External" /><Relationship Id="rId11" Type="http://schemas.openxmlformats.org/officeDocument/2006/relationships/hyperlink" Target="http://www.bps.dti.gov.ph" TargetMode="External"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3.xml" /><Relationship Id="rId17" Type="http://schemas.openxmlformats.org/officeDocument/2006/relationships/footer" Target="footer3.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PHL/26_03857_00_e.pdf" TargetMode="External" /><Relationship Id="rId7" Type="http://schemas.openxmlformats.org/officeDocument/2006/relationships/hyperlink" Target="https://www.facebook.com/fdagovph/posts/pfbid02CRPQ7iAa8G34ubrQFmwzEpbJVSyoCzZ7W85nUxQt3bJWkBBseA1d7CJU8nhVPLmql" TargetMode="External" /><Relationship Id="rId8" Type="http://schemas.openxmlformats.org/officeDocument/2006/relationships/hyperlink" Target="https://www.fda.gov.ph/draft-for-comments-submission-of-comments-for-the-draft-policy-provisionally-entitled-guidelines-of-the-adoption-of-the-regulatory-sandbox-for-the-implementation-of-regulations-for-the-l/" TargetMode="External" /><Relationship Id="rId9" Type="http://schemas.openxmlformats.org/officeDocument/2006/relationships/hyperlink" Target="mailto:cchuhsrr-policy@fda.gov.ph"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B45CA6-9820-43AC-B9C2-3FD0654A4D9C}">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3</Pages>
  <Words>1102</Words>
  <Characters>6282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7370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Rivera, Marcela</cp:lastModifiedBy>
  <cp:revision>4</cp:revision>
  <dcterms:created xsi:type="dcterms:W3CDTF">2026-07-23T12:21:00Z</dcterms:created>
  <dcterms:modified xsi:type="dcterms:W3CDTF">2026-07-23T12:32:00Z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