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2951247" w14:textId="77777777">
      <w:pPr>
        <w:pStyle w:val="Title"/>
      </w:pPr>
      <w:r w:rsidRPr="002F663C">
        <w:t>NOTIFICATION</w:t>
      </w:r>
    </w:p>
    <w:p w:rsidR="002F663C" w:rsidRPr="002F663C" w:rsidP="00DD3DD7" w14:paraId="0BEB223C" w14:textId="77777777">
      <w:pPr>
        <w:pStyle w:val="Title3"/>
      </w:pPr>
      <w:r w:rsidRPr="002F663C">
        <w:t>Addendum</w:t>
      </w:r>
    </w:p>
    <w:p w:rsidR="002F663C" w:rsidP="001E2E4A" w14:paraId="568D159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7D82FC40" w14:textId="77777777">
      <w:pPr>
        <w:rPr>
          <w:rFonts w:eastAsia="Calibri" w:cs="Times New Roman"/>
        </w:rPr>
      </w:pPr>
    </w:p>
    <w:p w:rsidR="002F663C" w:rsidRPr="002F663C" w:rsidP="002F663C" w14:paraId="251429C0" w14:textId="77777777">
      <w:pPr>
        <w:jc w:val="center"/>
        <w:rPr>
          <w:rFonts w:eastAsia="Calibri" w:cs="Times New Roman"/>
          <w:b/>
        </w:rPr>
      </w:pPr>
      <w:r w:rsidRPr="002F663C">
        <w:rPr>
          <w:rFonts w:eastAsia="Calibri" w:cs="Times New Roman"/>
          <w:b/>
        </w:rPr>
        <w:t>_______________</w:t>
      </w:r>
    </w:p>
    <w:p w:rsidR="002F663C" w:rsidP="002F663C" w14:paraId="11926007" w14:textId="77777777">
      <w:pPr>
        <w:rPr>
          <w:rFonts w:eastAsia="Calibri" w:cs="Times New Roman"/>
        </w:rPr>
      </w:pPr>
    </w:p>
    <w:p w:rsidR="00C14444" w:rsidRPr="002F663C" w:rsidP="002F663C" w14:paraId="377AA5A4" w14:textId="77777777">
      <w:pPr>
        <w:rPr>
          <w:rFonts w:eastAsia="Calibri" w:cs="Times New Roman"/>
        </w:rPr>
      </w:pPr>
    </w:p>
    <w:p w:rsidR="002F663C" w:rsidRPr="002F663C" w:rsidP="002F663C" w14:paraId="773147C9"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Food Standards of Identity Modernization; Pasteurized Orange Juice</w:t>
      </w:r>
    </w:p>
    <w:p w:rsidR="002F663C" w:rsidRPr="002F663C" w:rsidP="002F663C" w14:paraId="389BE79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E120E7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5010C2E8"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B78820D" w14:textId="77777777" w:rsidTr="00E9471B">
        <w:tblPrEx>
          <w:tblW w:w="9049" w:type="dxa"/>
          <w:tblLayout w:type="fixed"/>
          <w:tblLook w:val="04A0"/>
        </w:tblPrEx>
        <w:tc>
          <w:tcPr>
            <w:tcW w:w="851" w:type="dxa"/>
          </w:tcPr>
          <w:p w:rsidR="002F663C" w:rsidRPr="00711F9C" w:rsidP="00C14444" w14:paraId="05C15F9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67E045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5D6BF5A" w14:textId="77777777" w:rsidTr="00E9471B">
        <w:tblPrEx>
          <w:tblW w:w="9049" w:type="dxa"/>
          <w:tblLayout w:type="fixed"/>
          <w:tblLook w:val="04A0"/>
        </w:tblPrEx>
        <w:tc>
          <w:tcPr>
            <w:tcW w:w="851" w:type="dxa"/>
          </w:tcPr>
          <w:p w:rsidR="002F663C" w:rsidRPr="00711F9C" w:rsidP="00C14444" w14:paraId="2921F26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65D56C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1197A7C" w14:textId="77777777" w:rsidTr="00E9471B">
        <w:tblPrEx>
          <w:tblW w:w="9049" w:type="dxa"/>
          <w:tblLayout w:type="fixed"/>
          <w:tblLook w:val="04A0"/>
        </w:tblPrEx>
        <w:tc>
          <w:tcPr>
            <w:tcW w:w="851" w:type="dxa"/>
          </w:tcPr>
          <w:p w:rsidR="002F663C" w:rsidRPr="00711F9C" w:rsidP="00C14444" w14:paraId="6A7795D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8BD4C0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20 July 2026</w:t>
            </w:r>
          </w:p>
        </w:tc>
      </w:tr>
      <w:tr w14:paraId="206CED60" w14:textId="77777777" w:rsidTr="00E9471B">
        <w:tblPrEx>
          <w:tblW w:w="9049" w:type="dxa"/>
          <w:tblLayout w:type="fixed"/>
          <w:tblLook w:val="04A0"/>
        </w:tblPrEx>
        <w:tc>
          <w:tcPr>
            <w:tcW w:w="851" w:type="dxa"/>
          </w:tcPr>
          <w:p w:rsidR="002F663C" w:rsidRPr="00711F9C" w:rsidP="00C14444" w14:paraId="297CC2C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24872E8"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19 August 2026; effective and compliance date.</w:t>
            </w:r>
          </w:p>
        </w:tc>
      </w:tr>
      <w:tr w14:paraId="34B01247" w14:textId="77777777" w:rsidTr="00E9471B">
        <w:tblPrEx>
          <w:tblW w:w="9049" w:type="dxa"/>
          <w:tblLayout w:type="fixed"/>
          <w:tblLook w:val="04A0"/>
        </w:tblPrEx>
        <w:tc>
          <w:tcPr>
            <w:tcW w:w="851" w:type="dxa"/>
          </w:tcPr>
          <w:p w:rsidR="002F663C" w:rsidRPr="00711F9C" w:rsidP="00C14444" w14:paraId="0DDB2D1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C5E254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2C7C3D2"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https://members.wto.org/crnattachments/2026/TBT/USA/final_measure/26_03838_00_e.pdf</w:t>
              </w:r>
            </w:hyperlink>
          </w:p>
        </w:tc>
      </w:tr>
      <w:tr w14:paraId="6BB19218" w14:textId="77777777" w:rsidTr="00E9471B">
        <w:tblPrEx>
          <w:tblW w:w="9049" w:type="dxa"/>
          <w:tblLayout w:type="fixed"/>
          <w:tblLook w:val="04A0"/>
        </w:tblPrEx>
        <w:tc>
          <w:tcPr>
            <w:tcW w:w="851" w:type="dxa"/>
          </w:tcPr>
          <w:p w:rsidR="002F663C" w:rsidRPr="00711F9C" w:rsidP="00C14444" w14:paraId="61B9F01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53D0C2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207436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6C4AE6D" w14:textId="77777777" w:rsidTr="00E9471B">
        <w:tblPrEx>
          <w:tblW w:w="9049" w:type="dxa"/>
          <w:tblLayout w:type="fixed"/>
          <w:tblLook w:val="04A0"/>
        </w:tblPrEx>
        <w:tc>
          <w:tcPr>
            <w:tcW w:w="851" w:type="dxa"/>
          </w:tcPr>
          <w:p w:rsidR="002F663C" w:rsidRPr="00711F9C" w:rsidP="00C14444" w14:paraId="163E8E1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8DE045C"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85A2ED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FE54CEE" w14:textId="77777777" w:rsidTr="00E9471B">
        <w:tblPrEx>
          <w:tblW w:w="9049" w:type="dxa"/>
          <w:tblLayout w:type="fixed"/>
          <w:tblLook w:val="04A0"/>
        </w:tblPrEx>
        <w:tc>
          <w:tcPr>
            <w:tcW w:w="851" w:type="dxa"/>
          </w:tcPr>
          <w:p w:rsidR="002F663C" w:rsidRPr="00711F9C" w:rsidP="00C14444" w14:paraId="326452D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DCB6B6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DDB4CF7" w14:textId="77777777" w:rsidTr="00E9471B">
        <w:tblPrEx>
          <w:tblW w:w="9049" w:type="dxa"/>
          <w:tblLayout w:type="fixed"/>
          <w:tblLook w:val="04A0"/>
        </w:tblPrEx>
        <w:tc>
          <w:tcPr>
            <w:tcW w:w="851" w:type="dxa"/>
            <w:tcBorders>
              <w:bottom w:val="double" w:sz="4" w:space="0" w:color="auto"/>
            </w:tcBorders>
          </w:tcPr>
          <w:p w:rsidR="002F663C" w:rsidRPr="00711F9C" w:rsidP="00C14444" w14:paraId="6AC5048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34A8BA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124A9BF" w14:textId="77777777">
      <w:pPr>
        <w:jc w:val="left"/>
        <w:rPr>
          <w:rFonts w:eastAsia="Calibri" w:cs="Times New Roman"/>
          <w:highlight w:val="yellow"/>
        </w:rPr>
      </w:pPr>
    </w:p>
    <w:p w:rsidR="003971FF" w:rsidRPr="007F6EA2" w:rsidP="00B16ACF" w14:paraId="5690F4B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Final rule - The Food and Drug Administration (FDA or we) is issuing a final rule to amend the standard of identity for pasteurized orange juice by lowering the minimum orange juice soluble solids content from 10.5° to 10° Brix and permitting up to 15 percent Citrus reticulata juice or Citrus reticulata hybrid juice, by volume. This final rule modernizes the pasteurized orange juice standard. This action responds to two citizen petitions: one submitted by the Florida Citrus Processors Association Inc. and t</w:t>
      </w:r>
      <w:r w:rsidRPr="002F663C">
        <w:rPr>
          <w:rFonts w:eastAsia="Calibri" w:cs="Times New Roman"/>
          <w:szCs w:val="18"/>
        </w:rPr>
        <w:t>he Florida Citrus Mutual Inc., and another submitted by the Florida Department of Citrus, the Florida Citrus Mutual, and the Juice Products Association.</w:t>
      </w:r>
    </w:p>
    <w:p w:rsidR="006B7B69" w:rsidRPr="002F663C" w:rsidP="00B16ACF" w14:paraId="120881F3" w14:textId="77777777">
      <w:pPr>
        <w:spacing w:before="120" w:after="120"/>
        <w:rPr>
          <w:rFonts w:eastAsia="Calibri" w:cs="Times New Roman"/>
          <w:szCs w:val="18"/>
        </w:rPr>
      </w:pPr>
      <w:r w:rsidRPr="002F663C">
        <w:rPr>
          <w:rFonts w:eastAsia="Calibri" w:cs="Times New Roman"/>
          <w:szCs w:val="18"/>
        </w:rPr>
        <w:t>DATES: This rule is effective 19 August 2026. This compliance date is 19 August 2026.</w:t>
      </w:r>
    </w:p>
    <w:p w:rsidR="006B7B69" w:rsidRPr="002F663C" w:rsidP="00B16ACF" w14:paraId="6B6DF19C" w14:textId="77777777">
      <w:pPr>
        <w:spacing w:before="120" w:after="120"/>
        <w:rPr>
          <w:rFonts w:eastAsia="Calibri" w:cs="Times New Roman"/>
          <w:szCs w:val="18"/>
        </w:rPr>
      </w:pPr>
      <w:r w:rsidRPr="002F663C">
        <w:rPr>
          <w:rFonts w:eastAsia="Calibri" w:cs="Times New Roman"/>
          <w:szCs w:val="18"/>
        </w:rPr>
        <w:t xml:space="preserve">91 Federal Register (FR) 45190, </w:t>
      </w:r>
      <w:hyperlink r:id="rId8" w:history="1">
        <w:r w:rsidRPr="002F663C">
          <w:rPr>
            <w:rFonts w:eastAsia="Calibri" w:cs="Times New Roman"/>
            <w:color w:val="0000FF"/>
            <w:szCs w:val="18"/>
            <w:u w:val="single"/>
          </w:rPr>
          <w:t>21</w:t>
        </w:r>
      </w:hyperlink>
      <w:r w:rsidRPr="002F663C">
        <w:rPr>
          <w:rFonts w:eastAsia="Calibri" w:cs="Times New Roman"/>
          <w:szCs w:val="18"/>
        </w:rPr>
        <w:t xml:space="preserve"> Code of Federal Regulations (CFR) </w:t>
      </w:r>
      <w:hyperlink r:id="rId9" w:history="1">
        <w:r w:rsidRPr="002F663C">
          <w:rPr>
            <w:rFonts w:eastAsia="Calibri" w:cs="Times New Roman"/>
            <w:color w:val="0000FF"/>
            <w:szCs w:val="18"/>
            <w:u w:val="single"/>
          </w:rPr>
          <w:t>Part 146</w:t>
        </w:r>
      </w:hyperlink>
      <w:r w:rsidRPr="002F663C">
        <w:rPr>
          <w:rFonts w:eastAsia="Calibri" w:cs="Times New Roman"/>
          <w:szCs w:val="18"/>
        </w:rPr>
        <w:t>:</w:t>
      </w:r>
    </w:p>
    <w:p w:rsidR="006B7B69" w:rsidRPr="002F663C" w:rsidP="00B16ACF" w14:paraId="73DADF8F"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https://www.govinfo.gov/content/pkg/FR-2026-07-20/html/2026-14573.htm</w:t>
        </w:r>
      </w:hyperlink>
    </w:p>
    <w:p w:rsidR="006B7B69" w:rsidRPr="002F663C" w:rsidP="00B16ACF" w14:paraId="2EBF74C0"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https://www.govinfo.gov/content/pkg/FR-2026-07-20/pdf/2026-14573.pdf</w:t>
        </w:r>
      </w:hyperlink>
    </w:p>
    <w:p w:rsidR="006B7B69" w:rsidRPr="002F663C" w:rsidP="00B16ACF" w14:paraId="01EEB0B6" w14:textId="77777777">
      <w:pPr>
        <w:spacing w:before="120" w:after="120"/>
        <w:rPr>
          <w:rFonts w:eastAsia="Calibri" w:cs="Times New Roman"/>
          <w:szCs w:val="18"/>
        </w:rPr>
      </w:pPr>
      <w:r w:rsidRPr="002F663C">
        <w:rPr>
          <w:rFonts w:eastAsia="Calibri" w:cs="Times New Roman"/>
          <w:szCs w:val="18"/>
        </w:rPr>
        <w:t xml:space="preserve">This final rule, the proposed rule, and the corrigendum, respectively notified as </w:t>
      </w:r>
      <w:hyperlink r:id="rId12" w:history="1">
        <w:r w:rsidRPr="002F663C">
          <w:rPr>
            <w:rFonts w:eastAsia="Calibri" w:cs="Times New Roman"/>
            <w:color w:val="0000FF"/>
            <w:szCs w:val="18"/>
            <w:u w:val="single"/>
          </w:rPr>
          <w:t>G/TBT/N/USA/2231</w:t>
        </w:r>
      </w:hyperlink>
      <w:r w:rsidRPr="002F663C">
        <w:rPr>
          <w:rFonts w:eastAsia="Calibri" w:cs="Times New Roman"/>
          <w:szCs w:val="18"/>
        </w:rPr>
        <w:t xml:space="preserve"> and </w:t>
      </w:r>
      <w:hyperlink r:id="rId13" w:history="1">
        <w:r w:rsidRPr="002F663C">
          <w:rPr>
            <w:rFonts w:eastAsia="Calibri" w:cs="Times New Roman"/>
            <w:color w:val="0000FF"/>
            <w:szCs w:val="18"/>
            <w:u w:val="single"/>
          </w:rPr>
          <w:t>G/TBT/N/USA/2231/Corr.1</w:t>
        </w:r>
      </w:hyperlink>
      <w:r w:rsidRPr="002F663C">
        <w:rPr>
          <w:rFonts w:eastAsia="Calibri" w:cs="Times New Roman"/>
          <w:szCs w:val="18"/>
        </w:rPr>
        <w:t xml:space="preserve">, are identified by FDA-2022-P-1668. The Docket Folder is available on Regulations.gov at </w:t>
      </w:r>
      <w:hyperlink r:id="rId14" w:history="1">
        <w:r w:rsidRPr="002F663C">
          <w:rPr>
            <w:rFonts w:eastAsia="Calibri" w:cs="Times New Roman"/>
            <w:color w:val="0000FF"/>
            <w:szCs w:val="18"/>
            <w:u w:val="single"/>
          </w:rPr>
          <w:t>https://www.regulations.gov/docket/FDA-2022-P-1668/document</w:t>
        </w:r>
      </w:hyperlink>
      <w:r w:rsidRPr="002F663C">
        <w:rPr>
          <w:rFonts w:eastAsia="Calibri" w:cs="Times New Roman"/>
          <w:szCs w:val="18"/>
        </w:rPr>
        <w:t xml:space="preserve"> and provides access to primary and supporting documents. as well as </w:t>
      </w:r>
      <w:hyperlink r:id="rId15" w:history="1">
        <w:r w:rsidRPr="002F663C">
          <w:rPr>
            <w:rFonts w:eastAsia="Calibri" w:cs="Times New Roman"/>
            <w:color w:val="0000FF"/>
            <w:szCs w:val="18"/>
            <w:u w:val="single"/>
          </w:rPr>
          <w:t>comments</w:t>
        </w:r>
      </w:hyperlink>
      <w:r w:rsidRPr="002F663C">
        <w:rPr>
          <w:rFonts w:eastAsia="Calibri" w:cs="Times New Roman"/>
          <w:szCs w:val="18"/>
        </w:rPr>
        <w:t xml:space="preserve">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3CFDEA1E" w14:textId="77777777">
      <w:pPr>
        <w:jc w:val="center"/>
        <w:rPr>
          <w:b/>
        </w:rPr>
      </w:pPr>
      <w:r w:rsidRPr="003971FF">
        <w:rPr>
          <w:b/>
        </w:rPr>
        <w:t>__________</w:t>
      </w:r>
    </w:p>
    <w:p w:rsidR="004D4D19" w:rsidP="007F38C2" w14:paraId="740B5CFC" w14:textId="77777777">
      <w:pPr>
        <w:jc w:val="center"/>
        <w:rPr>
          <w:b/>
        </w:rPr>
      </w:pPr>
    </w:p>
    <w:p w:rsidR="00A1565D" w:rsidP="003971FF" w14:paraId="72FB2974"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3881BF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ED03E6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47B9" w:rsidP="00ED54E0" w14:paraId="47097C8F" w14:textId="77777777">
      <w:r>
        <w:separator/>
      </w:r>
    </w:p>
  </w:footnote>
  <w:footnote w:type="continuationSeparator" w:id="1">
    <w:p w:rsidR="000647B9" w:rsidP="00ED54E0" w14:paraId="588EB966" w14:textId="77777777">
      <w:r>
        <w:continuationSeparator/>
      </w:r>
    </w:p>
  </w:footnote>
  <w:footnote w:id="2">
    <w:p w:rsidR="007F6EA2" w14:paraId="57DAB78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D5C9E5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53370EF" w14:textId="77777777">
    <w:pPr>
      <w:pStyle w:val="Header"/>
      <w:pBdr>
        <w:bottom w:val="single" w:sz="4" w:space="1" w:color="auto"/>
      </w:pBdr>
      <w:tabs>
        <w:tab w:val="clear" w:pos="4513"/>
        <w:tab w:val="clear" w:pos="9027"/>
      </w:tabs>
      <w:jc w:val="center"/>
    </w:pPr>
  </w:p>
  <w:p w:rsidR="00DD3DD7" w:rsidRPr="00DD3DD7" w:rsidP="00DD3DD7" w14:paraId="7180481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15A1D8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647DE5" w:rsidP="00DD3DD7" w14:paraId="54B9DE60" w14:textId="77777777">
    <w:pPr>
      <w:pStyle w:val="Header"/>
      <w:pBdr>
        <w:bottom w:val="single" w:sz="4" w:space="1" w:color="auto"/>
      </w:pBdr>
      <w:tabs>
        <w:tab w:val="clear" w:pos="4513"/>
        <w:tab w:val="clear" w:pos="9027"/>
      </w:tabs>
      <w:jc w:val="center"/>
      <w:rPr>
        <w:lang w:val="es-ES_tradnl"/>
      </w:rPr>
    </w:pPr>
    <w:bookmarkStart w:id="3" w:name="spsSymbolHeader"/>
    <w:r w:rsidRPr="00647DE5">
      <w:rPr>
        <w:lang w:val="es-ES_tradnl"/>
      </w:rPr>
      <w:t>G/TBT/N/USA/2231/Add.1</w:t>
    </w:r>
    <w:bookmarkEnd w:id="3"/>
  </w:p>
  <w:p w:rsidR="00DD3DD7" w:rsidRPr="00647DE5" w:rsidP="00DD3DD7" w14:paraId="7994E9C1" w14:textId="77777777">
    <w:pPr>
      <w:pStyle w:val="Header"/>
      <w:pBdr>
        <w:bottom w:val="single" w:sz="4" w:space="1" w:color="auto"/>
      </w:pBdr>
      <w:tabs>
        <w:tab w:val="clear" w:pos="4513"/>
        <w:tab w:val="clear" w:pos="9027"/>
      </w:tabs>
      <w:jc w:val="center"/>
      <w:rPr>
        <w:lang w:val="es-ES_tradnl"/>
      </w:rPr>
    </w:pPr>
  </w:p>
  <w:p w:rsidR="00DD3DD7" w:rsidRPr="00DD3DD7" w:rsidP="00DD3DD7" w14:paraId="60D88BF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E7F8B4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942BE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DF4D13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40C4A89" w14:textId="77777777">
          <w:pPr>
            <w:jc w:val="right"/>
            <w:rPr>
              <w:b/>
              <w:color w:val="FF0000"/>
              <w:szCs w:val="16"/>
            </w:rPr>
          </w:pPr>
          <w:r>
            <w:rPr>
              <w:b/>
              <w:color w:val="FF0000"/>
              <w:szCs w:val="16"/>
            </w:rPr>
            <w:t xml:space="preserve"> </w:t>
          </w:r>
        </w:p>
      </w:tc>
    </w:tr>
    <w:tr w14:paraId="53456D92"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D66323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A118E9" w14:textId="77777777">
          <w:pPr>
            <w:jc w:val="right"/>
            <w:rPr>
              <w:b/>
              <w:szCs w:val="16"/>
            </w:rPr>
          </w:pPr>
        </w:p>
      </w:tc>
    </w:tr>
    <w:tr w14:paraId="579D698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9896C75" w14:textId="77777777">
          <w:pPr>
            <w:jc w:val="left"/>
            <w:rPr>
              <w:noProof/>
              <w:lang w:eastAsia="en-GB"/>
            </w:rPr>
          </w:pPr>
        </w:p>
      </w:tc>
      <w:tc>
        <w:tcPr>
          <w:tcW w:w="5448" w:type="dxa"/>
          <w:gridSpan w:val="2"/>
          <w:shd w:val="clear" w:color="auto" w:fill="FFFFFF"/>
          <w:tcMar>
            <w:left w:w="108" w:type="dxa"/>
            <w:right w:w="108" w:type="dxa"/>
          </w:tcMar>
        </w:tcPr>
        <w:p w:rsidR="00DD3DD7" w:rsidRPr="00647DE5" w:rsidP="00DD3DD7" w14:paraId="181285FE" w14:textId="77777777">
          <w:pPr>
            <w:jc w:val="right"/>
            <w:rPr>
              <w:rFonts w:eastAsia="Calibri" w:cs="Times New Roman"/>
              <w:b/>
              <w:szCs w:val="16"/>
              <w:lang w:val="es-ES_tradnl"/>
            </w:rPr>
          </w:pPr>
          <w:bookmarkStart w:id="4" w:name="bmkSymbols"/>
          <w:r w:rsidRPr="00647DE5">
            <w:rPr>
              <w:rFonts w:eastAsia="Calibri" w:cs="Times New Roman"/>
              <w:b/>
              <w:szCs w:val="16"/>
              <w:lang w:val="es-ES_tradnl"/>
            </w:rPr>
            <w:t>G/TBT/N/USA/2231/Add.1</w:t>
          </w:r>
          <w:bookmarkEnd w:id="4"/>
        </w:p>
        <w:p w:rsidR="00C14444" w:rsidRPr="00647DE5" w:rsidP="00C14444" w14:paraId="19AB31AD" w14:textId="77777777">
          <w:pPr>
            <w:jc w:val="center"/>
            <w:rPr>
              <w:szCs w:val="16"/>
              <w:lang w:val="es-ES_tradnl"/>
            </w:rPr>
          </w:pPr>
        </w:p>
      </w:tc>
    </w:tr>
    <w:tr w14:paraId="60DE3BE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47DE5" w:rsidP="00425DC5" w14:paraId="4CE5416B" w14:textId="77777777">
          <w:pPr>
            <w:rPr>
              <w:lang w:val="es-ES_tradnl"/>
            </w:rPr>
          </w:pPr>
        </w:p>
      </w:tc>
      <w:tc>
        <w:tcPr>
          <w:tcW w:w="5448" w:type="dxa"/>
          <w:gridSpan w:val="2"/>
          <w:shd w:val="clear" w:color="auto" w:fill="FFFFFF"/>
          <w:tcMar>
            <w:left w:w="108" w:type="dxa"/>
            <w:right w:w="108" w:type="dxa"/>
          </w:tcMar>
          <w:vAlign w:val="center"/>
        </w:tcPr>
        <w:p w:rsidR="00ED54E0" w:rsidRPr="00182B84" w:rsidP="00425DC5" w14:paraId="120B919F" w14:textId="77777777">
          <w:pPr>
            <w:jc w:val="right"/>
            <w:rPr>
              <w:szCs w:val="16"/>
            </w:rPr>
          </w:pPr>
          <w:bookmarkStart w:id="5" w:name="bmkDate"/>
          <w:r w:rsidRPr="00182B84">
            <w:rPr>
              <w:szCs w:val="16"/>
            </w:rPr>
            <w:t>22 July 2026</w:t>
          </w:r>
          <w:bookmarkEnd w:id="5"/>
        </w:p>
      </w:tc>
    </w:tr>
    <w:tr w14:paraId="0E02DD7A"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8AC0CA4" w14:textId="77777777">
          <w:pPr>
            <w:jc w:val="left"/>
            <w:rPr>
              <w:b/>
            </w:rPr>
          </w:pPr>
          <w:bookmarkStart w:id="6" w:name="bmkSerial"/>
          <w:r>
            <w:rPr>
              <w:rFonts w:ascii="Verdana" w:eastAsia="Verdana" w:hAnsi="Verdana" w:cs="Verdana"/>
              <w:b w:val="0"/>
              <w:color w:val="FF0000"/>
              <w:sz w:val="18"/>
            </w:rPr>
            <w:t>(26-5277)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B6DCA9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5ED41F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EF74F2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0A3C5F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A082F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13367576">
    <w:abstractNumId w:val="9"/>
  </w:num>
  <w:num w:numId="2" w16cid:durableId="735665895">
    <w:abstractNumId w:val="7"/>
  </w:num>
  <w:num w:numId="3" w16cid:durableId="1381251326">
    <w:abstractNumId w:val="6"/>
  </w:num>
  <w:num w:numId="4" w16cid:durableId="1285035638">
    <w:abstractNumId w:val="5"/>
  </w:num>
  <w:num w:numId="5" w16cid:durableId="1570727546">
    <w:abstractNumId w:val="4"/>
  </w:num>
  <w:num w:numId="6" w16cid:durableId="1320648384">
    <w:abstractNumId w:val="12"/>
  </w:num>
  <w:num w:numId="7" w16cid:durableId="721754322">
    <w:abstractNumId w:val="11"/>
  </w:num>
  <w:num w:numId="8" w16cid:durableId="1743597576">
    <w:abstractNumId w:val="10"/>
  </w:num>
  <w:num w:numId="9" w16cid:durableId="17057880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7185141">
    <w:abstractNumId w:val="13"/>
  </w:num>
  <w:num w:numId="11" w16cid:durableId="1664428281">
    <w:abstractNumId w:val="8"/>
  </w:num>
  <w:num w:numId="12" w16cid:durableId="1121726304">
    <w:abstractNumId w:val="3"/>
  </w:num>
  <w:num w:numId="13" w16cid:durableId="61418058">
    <w:abstractNumId w:val="2"/>
  </w:num>
  <w:num w:numId="14" w16cid:durableId="1307323354">
    <w:abstractNumId w:val="1"/>
  </w:num>
  <w:num w:numId="15" w16cid:durableId="1379745867">
    <w:abstractNumId w:val="0"/>
  </w:num>
  <w:num w:numId="16" w16cid:durableId="143644050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47B9"/>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A4800"/>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E6843"/>
    <w:rsid w:val="004244A9"/>
    <w:rsid w:val="00425DC5"/>
    <w:rsid w:val="00467032"/>
    <w:rsid w:val="0046754A"/>
    <w:rsid w:val="00467A46"/>
    <w:rsid w:val="004A220F"/>
    <w:rsid w:val="004C5A53"/>
    <w:rsid w:val="004D3A6A"/>
    <w:rsid w:val="004D4D19"/>
    <w:rsid w:val="004E5065"/>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47DE5"/>
    <w:rsid w:val="00657B4C"/>
    <w:rsid w:val="00674CCD"/>
    <w:rsid w:val="006B3175"/>
    <w:rsid w:val="006B7B69"/>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2740"/>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1C27"/>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26D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7-20/html/2026-14573.htm" TargetMode="External" /><Relationship Id="rId11" Type="http://schemas.openxmlformats.org/officeDocument/2006/relationships/hyperlink" Target="https://www.govinfo.gov/content/pkg/FR-2026-07-20/pdf/2026-14573.pdf" TargetMode="External" /><Relationship Id="rId12" Type="http://schemas.openxmlformats.org/officeDocument/2006/relationships/hyperlink" Target="https://eping.wto.org/en/Search?viewData=G/TBT/N/USA/2231" TargetMode="External" /><Relationship Id="rId13" Type="http://schemas.openxmlformats.org/officeDocument/2006/relationships/hyperlink" Target="https://eping.wto.org/en/Search?viewData=G/TBT/N/USA/2231/Corr.1" TargetMode="External" /><Relationship Id="rId14" Type="http://schemas.openxmlformats.org/officeDocument/2006/relationships/hyperlink" Target="https://www.regulations.gov/docket/FDA-2022-P-1668/document" TargetMode="External" /><Relationship Id="rId15" Type="http://schemas.openxmlformats.org/officeDocument/2006/relationships/hyperlink" Target="https://www.regulations.gov/docket/FDA-2022-P-1668/comments" TargetMode="External" /><Relationship Id="rId16" Type="http://schemas.openxmlformats.org/officeDocument/2006/relationships/hyperlink" Target="http://www.regulations.gov/"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838_00_e.pdf" TargetMode="External" /><Relationship Id="rId8" Type="http://schemas.openxmlformats.org/officeDocument/2006/relationships/hyperlink" Target="https://www.ecfr.gov/current/title-21" TargetMode="External" /><Relationship Id="rId9" Type="http://schemas.openxmlformats.org/officeDocument/2006/relationships/hyperlink" Target="https://www.ecfr.gov/current/title-21/chapter-I/subchapter-B/part-146?toc=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E46D7-ADBC-48E1-9095-DE7F6E9836C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2026-07-22T08:53:00Z</dcterms:created>
  <dcterms:modified xsi:type="dcterms:W3CDTF">2026-07-22T09:19:00Z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