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0D6BFF" w:rsidP="003A3E55" w14:paraId="77D7D946" w14:textId="77777777">
      <w:pPr>
        <w:pStyle w:val="Title"/>
        <w:rPr>
          <w:caps w:val="0"/>
          <w:kern w:val="0"/>
        </w:rPr>
      </w:pPr>
      <w:r w:rsidRPr="000D6BFF">
        <w:rPr>
          <w:caps w:val="0"/>
        </w:rPr>
        <w:t>NOTIFICATION</w:t>
      </w:r>
    </w:p>
    <w:p w:rsidR="00B531D9" w:rsidRPr="000D6BFF" w:rsidP="003A3E55" w14:paraId="2EB75063" w14:textId="77777777">
      <w:pPr>
        <w:jc w:val="center"/>
      </w:pPr>
      <w:r w:rsidRPr="000D6BFF">
        <w:t>The following notification is being circulated in accordance with Article 10.6.</w:t>
      </w:r>
    </w:p>
    <w:p w:rsidR="00B531D9" w:rsidRPr="000D6BFF" w:rsidP="003A3E55" w14:paraId="4993A67A"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14836D29" w14:textId="77777777" w:rsidTr="000F6A25">
        <w:tblPrEx>
          <w:tblW w:w="5000" w:type="pct"/>
          <w:tblLayout w:type="fixed"/>
          <w:tblLook w:val="0000"/>
        </w:tblPrEx>
        <w:tc>
          <w:tcPr>
            <w:tcW w:w="695" w:type="dxa"/>
            <w:tcBorders>
              <w:top w:val="double" w:sz="4" w:space="0" w:color="auto"/>
            </w:tcBorders>
          </w:tcPr>
          <w:p w:rsidR="00A52F73" w:rsidRPr="003A3E55" w:rsidP="003A3E55" w14:paraId="40667F38" w14:textId="77777777">
            <w:pPr>
              <w:spacing w:before="120" w:after="120"/>
              <w:rPr>
                <w:b/>
              </w:rPr>
            </w:pPr>
            <w:r w:rsidRPr="000D6BFF">
              <w:rPr>
                <w:b/>
              </w:rPr>
              <w:t>1.</w:t>
            </w:r>
          </w:p>
        </w:tc>
        <w:tc>
          <w:tcPr>
            <w:tcW w:w="8285" w:type="dxa"/>
            <w:tcBorders>
              <w:top w:val="double" w:sz="4" w:space="0" w:color="auto"/>
            </w:tcBorders>
          </w:tcPr>
          <w:p w:rsidR="00A52F73" w:rsidRPr="000D6BFF" w:rsidP="00946686" w14:paraId="372B6C93" w14:textId="77777777">
            <w:pPr>
              <w:spacing w:before="120" w:after="120"/>
            </w:pPr>
            <w:r w:rsidRPr="000D6BFF">
              <w:rPr>
                <w:b/>
              </w:rPr>
              <w:t>Notifying Member:</w:t>
            </w:r>
            <w:r w:rsidRPr="000D6BFF">
              <w:t xml:space="preserve"> </w:t>
            </w:r>
            <w:r w:rsidRPr="000D6BFF">
              <w:rPr>
                <w:u w:val="single"/>
              </w:rPr>
              <w:t>EL SALVADOR</w:t>
            </w:r>
          </w:p>
          <w:p w:rsidR="00A52F73" w:rsidRPr="003A3E55" w:rsidP="003A3E55" w14:paraId="17F10617" w14:textId="77777777">
            <w:pPr>
              <w:spacing w:after="120"/>
            </w:pPr>
            <w:r w:rsidRPr="000D6BFF">
              <w:rPr>
                <w:b/>
              </w:rPr>
              <w:t>If applicable, name of local government involved (Articles 3.2 and 7.2):</w:t>
            </w:r>
            <w:r w:rsidRPr="000D6BFF">
              <w:t xml:space="preserve"> </w:t>
            </w:r>
          </w:p>
        </w:tc>
      </w:tr>
      <w:tr w14:paraId="53C2CD50" w14:textId="77777777" w:rsidTr="000F6A25">
        <w:tblPrEx>
          <w:tblW w:w="5000" w:type="pct"/>
          <w:tblLayout w:type="fixed"/>
          <w:tblLook w:val="0000"/>
        </w:tblPrEx>
        <w:tc>
          <w:tcPr>
            <w:tcW w:w="695" w:type="dxa"/>
          </w:tcPr>
          <w:p w:rsidR="00A52F73" w:rsidRPr="003A3E55" w:rsidP="003A3E55" w14:paraId="10FF7858" w14:textId="77777777">
            <w:pPr>
              <w:spacing w:before="120" w:after="120"/>
              <w:rPr>
                <w:b/>
              </w:rPr>
            </w:pPr>
            <w:r w:rsidRPr="000D6BFF">
              <w:rPr>
                <w:b/>
              </w:rPr>
              <w:t>2.</w:t>
            </w:r>
          </w:p>
        </w:tc>
        <w:tc>
          <w:tcPr>
            <w:tcW w:w="8285" w:type="dxa"/>
          </w:tcPr>
          <w:p w:rsidR="00A52F73" w:rsidRPr="008A6F94" w:rsidP="00C94F02" w14:paraId="33B86F28" w14:textId="77777777">
            <w:pPr>
              <w:spacing w:before="120" w:after="120"/>
              <w:rPr>
                <w:lang w:val="es-ES_tradnl"/>
              </w:rPr>
            </w:pPr>
            <w:r w:rsidRPr="008A6F94">
              <w:rPr>
                <w:b/>
                <w:lang w:val="es-ES_tradnl"/>
              </w:rPr>
              <w:t>Agency responsible:</w:t>
            </w:r>
            <w:r w:rsidRPr="008A6F94">
              <w:rPr>
                <w:lang w:val="es-ES_tradnl"/>
              </w:rPr>
              <w:t xml:space="preserve"> </w:t>
            </w:r>
          </w:p>
          <w:p w:rsidR="00AF251E" w:rsidRPr="008A6F94" w:rsidP="00C94F02" w14:paraId="458D2B4C" w14:textId="77777777">
            <w:pPr>
              <w:spacing w:after="120"/>
              <w:rPr>
                <w:lang w:val="es-ES_tradnl"/>
              </w:rPr>
            </w:pPr>
            <w:r w:rsidRPr="008A6F94">
              <w:rPr>
                <w:i/>
                <w:iCs/>
                <w:lang w:val="es-ES_tradnl"/>
              </w:rPr>
              <w:t>Organismo Salvadoreño de Reglamentación Técnica</w:t>
            </w:r>
            <w:r w:rsidRPr="008A6F94">
              <w:rPr>
                <w:lang w:val="es-ES_tradnl"/>
              </w:rPr>
              <w:t>, OSARTEC (Salvadoran Technical Regulation Agency)</w:t>
            </w:r>
          </w:p>
        </w:tc>
      </w:tr>
      <w:tr w14:paraId="31C718F7" w14:textId="77777777" w:rsidTr="000F6A25">
        <w:tblPrEx>
          <w:tblW w:w="5000" w:type="pct"/>
          <w:tblLayout w:type="fixed"/>
          <w:tblLook w:val="0000"/>
        </w:tblPrEx>
        <w:tc>
          <w:tcPr>
            <w:tcW w:w="695" w:type="dxa"/>
          </w:tcPr>
          <w:p w:rsidR="00A52F73" w:rsidRPr="003A3E55" w:rsidP="003A3E55" w14:paraId="734B5392" w14:textId="77777777">
            <w:pPr>
              <w:spacing w:before="120" w:after="120"/>
              <w:rPr>
                <w:b/>
              </w:rPr>
            </w:pPr>
            <w:r w:rsidRPr="000D6BFF">
              <w:rPr>
                <w:b/>
              </w:rPr>
              <w:t>3.</w:t>
            </w:r>
          </w:p>
        </w:tc>
        <w:tc>
          <w:tcPr>
            <w:tcW w:w="8285" w:type="dxa"/>
          </w:tcPr>
          <w:p w:rsidR="00A52F73" w:rsidRPr="003A3E55" w:rsidP="003A3E55" w14:paraId="2BD1FC41" w14:textId="77777777">
            <w:pPr>
              <w:spacing w:before="120" w:after="120"/>
            </w:pPr>
            <w:r w:rsidRPr="000D6BFF">
              <w:rPr>
                <w:b/>
              </w:rPr>
              <w:t xml:space="preserve">Notified under Article 2.9.2 [X], 2.10.1 </w:t>
            </w:r>
            <w:r w:rsidRPr="000D6BFF">
              <w:rPr>
                <w:b/>
              </w:rPr>
              <w:t>[ ]</w:t>
            </w:r>
            <w:r w:rsidRPr="000D6BFF">
              <w:rPr>
                <w:b/>
              </w:rPr>
              <w:t xml:space="preserve">, 5.6.2 </w:t>
            </w:r>
            <w:r w:rsidRPr="000D6BFF">
              <w:rPr>
                <w:b/>
              </w:rPr>
              <w:t>[ ]</w:t>
            </w:r>
            <w:r w:rsidRPr="000D6BFF">
              <w:rPr>
                <w:b/>
              </w:rPr>
              <w:t xml:space="preserve">, 5.7.1 </w:t>
            </w:r>
            <w:r w:rsidRPr="000D6BFF">
              <w:rPr>
                <w:b/>
              </w:rPr>
              <w:t>[ ]</w:t>
            </w:r>
            <w:r w:rsidRPr="000D6BFF">
              <w:rPr>
                <w:b/>
              </w:rPr>
              <w:t xml:space="preserve">, 3.2 </w:t>
            </w:r>
            <w:r w:rsidRPr="000D6BFF">
              <w:rPr>
                <w:b/>
              </w:rPr>
              <w:t>[ ]</w:t>
            </w:r>
            <w:r w:rsidRPr="000D6BFF">
              <w:rPr>
                <w:b/>
              </w:rPr>
              <w:t xml:space="preserve">, 7.2 </w:t>
            </w:r>
            <w:r w:rsidRPr="000D6BFF">
              <w:rPr>
                <w:b/>
              </w:rPr>
              <w:t>[ ]</w:t>
            </w:r>
            <w:r w:rsidRPr="000D6BFF">
              <w:rPr>
                <w:b/>
              </w:rPr>
              <w:t>, other:</w:t>
            </w:r>
            <w:r w:rsidRPr="000D6BFF">
              <w:t xml:space="preserve"> </w:t>
            </w:r>
          </w:p>
        </w:tc>
      </w:tr>
      <w:tr w14:paraId="3DA3B07B" w14:textId="77777777" w:rsidTr="000F6A25">
        <w:tblPrEx>
          <w:tblW w:w="5000" w:type="pct"/>
          <w:tblLayout w:type="fixed"/>
          <w:tblLook w:val="0000"/>
        </w:tblPrEx>
        <w:tc>
          <w:tcPr>
            <w:tcW w:w="695" w:type="dxa"/>
          </w:tcPr>
          <w:p w:rsidR="00A52F73" w:rsidRPr="003A3E55" w:rsidP="003A3E55" w14:paraId="3E157CEB" w14:textId="77777777">
            <w:pPr>
              <w:spacing w:before="120" w:after="120"/>
              <w:rPr>
                <w:b/>
              </w:rPr>
            </w:pPr>
            <w:r w:rsidRPr="000D6BFF">
              <w:rPr>
                <w:b/>
              </w:rPr>
              <w:t>4.</w:t>
            </w:r>
          </w:p>
        </w:tc>
        <w:tc>
          <w:tcPr>
            <w:tcW w:w="8285" w:type="dxa"/>
          </w:tcPr>
          <w:p w:rsidR="00A52F73" w:rsidRPr="003A3E55" w:rsidP="003A3E55" w14:paraId="59661E42" w14:textId="77777777">
            <w:pPr>
              <w:spacing w:before="120" w:after="120"/>
            </w:pPr>
            <w:r w:rsidRPr="000D6BFF">
              <w:rPr>
                <w:b/>
              </w:rPr>
              <w:t>Products covered (HS codes or national tariff lines. ICS numbers may be provided in addition, where applicable):</w:t>
            </w:r>
            <w:r w:rsidRPr="000D6BFF">
              <w:t xml:space="preserve"> Beekeeping (ICS code: 65.140)</w:t>
            </w:r>
          </w:p>
        </w:tc>
      </w:tr>
      <w:tr w14:paraId="4EB844AE" w14:textId="77777777" w:rsidTr="000F6A25">
        <w:tblPrEx>
          <w:tblW w:w="5000" w:type="pct"/>
          <w:tblLayout w:type="fixed"/>
          <w:tblLook w:val="0000"/>
        </w:tblPrEx>
        <w:tc>
          <w:tcPr>
            <w:tcW w:w="695" w:type="dxa"/>
          </w:tcPr>
          <w:p w:rsidR="00A52F73" w:rsidRPr="003A3E55" w:rsidP="003A3E55" w14:paraId="4BB624BE" w14:textId="77777777">
            <w:pPr>
              <w:spacing w:before="120" w:after="120"/>
              <w:rPr>
                <w:b/>
              </w:rPr>
            </w:pPr>
            <w:r w:rsidRPr="000D6BFF">
              <w:rPr>
                <w:b/>
              </w:rPr>
              <w:t>5.</w:t>
            </w:r>
          </w:p>
        </w:tc>
        <w:tc>
          <w:tcPr>
            <w:tcW w:w="8285" w:type="dxa"/>
          </w:tcPr>
          <w:p w:rsidR="00A52F73" w:rsidRPr="000D6BFF" w:rsidP="003A3E55" w14:paraId="25AC607F" w14:textId="77777777">
            <w:pPr>
              <w:spacing w:before="120" w:after="120"/>
            </w:pPr>
            <w:r w:rsidRPr="000D6BFF">
              <w:rPr>
                <w:b/>
              </w:rPr>
              <w:t>Details of notified document(s) (title, number of pages and languages, means of access):</w:t>
            </w:r>
            <w:r w:rsidRPr="000D6BFF">
              <w:t xml:space="preserve"> </w:t>
            </w:r>
            <w:r w:rsidRPr="000D6BFF">
              <w:rPr>
                <w:i/>
                <w:iCs/>
              </w:rPr>
              <w:t>Reglamento</w:t>
            </w:r>
            <w:r w:rsidRPr="000D6BFF">
              <w:rPr>
                <w:i/>
                <w:iCs/>
              </w:rPr>
              <w:t xml:space="preserve"> Técnico </w:t>
            </w:r>
            <w:r w:rsidRPr="000D6BFF">
              <w:rPr>
                <w:i/>
                <w:iCs/>
              </w:rPr>
              <w:t>Salvadoreño</w:t>
            </w:r>
            <w:r w:rsidRPr="000D6BFF">
              <w:rPr>
                <w:i/>
                <w:iCs/>
              </w:rPr>
              <w:t xml:space="preserve"> -RTS- 65.03.02:26 BUENAS PRÁCTICAS DE HIGIENE Y DE UN SISTEMA DE ANÁLISIS DE PELIGRO Y PUNTOS CRÍTICOS DE CONTROL (HACCP) PARA PLANTAS PROCESADORAS DE MIEL DE ABEJAS</w:t>
            </w:r>
            <w:r w:rsidRPr="000D6BFF">
              <w:t xml:space="preserve"> (Salvadoran Technical Regulation (RTS) No. 65.03.02:26 Good hygiene practices and a hazard analysis and critical control point (HACCP) system for bee honey processing plants); (8 pages, in Spanish)</w:t>
            </w:r>
          </w:p>
          <w:p w:rsidR="00145C22" w:rsidRPr="000D6BFF" w:rsidP="003A3E55" w14:paraId="60FEA8F3" w14:textId="77777777">
            <w:pPr>
              <w:spacing w:before="120" w:after="120"/>
              <w:rPr>
                <w:bCs/>
              </w:rPr>
            </w:pPr>
            <w:r w:rsidRPr="000D6BFF">
              <w:rPr>
                <w:b/>
              </w:rPr>
              <w:t>Link to notified document(s) and/or contact details for agency or authority which can provide copies upon request:</w:t>
            </w:r>
            <w:r w:rsidRPr="000D6BFF">
              <w:t xml:space="preserve"> </w:t>
            </w:r>
          </w:p>
          <w:p w:rsidR="00F70F54" w:rsidP="003A3E55" w14:paraId="24A450B0" w14:textId="77777777">
            <w:pPr>
              <w:pBdr>
                <w:top w:val="none" w:sz="0" w:space="4" w:color="auto"/>
                <w:bottom w:val="none" w:sz="0" w:space="4" w:color="auto"/>
              </w:pBdr>
              <w:spacing w:after="120"/>
              <w:rPr>
                <w:bCs/>
              </w:rPr>
            </w:pPr>
            <w:hyperlink r:id="rId5" w:tgtFrame="_blank" w:history="1">
              <w:r w:rsidRPr="000D6BFF">
                <w:rPr>
                  <w:color w:val="0000FF"/>
                  <w:u w:val="single"/>
                </w:rPr>
                <w:t>https://members.wto.org/crnattachments/2026/TBT/SLV/26_03695_00_e.pdf</w:t>
              </w:r>
            </w:hyperlink>
          </w:p>
        </w:tc>
      </w:tr>
      <w:tr w14:paraId="0C1E6613" w14:textId="77777777" w:rsidTr="000F6A25">
        <w:tblPrEx>
          <w:tblW w:w="5000" w:type="pct"/>
          <w:tblLayout w:type="fixed"/>
          <w:tblLook w:val="0000"/>
        </w:tblPrEx>
        <w:tc>
          <w:tcPr>
            <w:tcW w:w="695" w:type="dxa"/>
          </w:tcPr>
          <w:p w:rsidR="00A52F73" w:rsidRPr="003A3E55" w:rsidP="003A3E55" w14:paraId="0E2FB1C3" w14:textId="77777777">
            <w:pPr>
              <w:spacing w:before="120" w:after="120"/>
              <w:rPr>
                <w:b/>
              </w:rPr>
            </w:pPr>
            <w:r w:rsidRPr="000D6BFF">
              <w:rPr>
                <w:b/>
              </w:rPr>
              <w:t>6.</w:t>
            </w:r>
          </w:p>
        </w:tc>
        <w:tc>
          <w:tcPr>
            <w:tcW w:w="8285" w:type="dxa"/>
          </w:tcPr>
          <w:p w:rsidR="00A52F73" w:rsidRPr="000D6BFF" w:rsidP="003A3E55" w14:paraId="56C3448E" w14:textId="77777777">
            <w:pPr>
              <w:spacing w:before="120" w:after="120"/>
            </w:pPr>
            <w:r w:rsidRPr="000D6BFF">
              <w:rPr>
                <w:b/>
              </w:rPr>
              <w:t>Description of content:</w:t>
            </w:r>
            <w:r w:rsidRPr="000D6BFF">
              <w:t xml:space="preserve"> The notified regulation establishes the requirements for good hygiene practices and a hazard analysis and critical control point (HACCP) system that must be met by plants processing bee honey fit for human consumption.</w:t>
            </w:r>
          </w:p>
          <w:p w:rsidR="00AF251E" w:rsidRPr="003A3E55" w:rsidP="003A3E55" w14:paraId="1C29D6B4" w14:textId="77777777">
            <w:pPr>
              <w:spacing w:before="120" w:after="120"/>
            </w:pPr>
            <w:r w:rsidRPr="000D6BFF">
              <w:t>It applies to natural or legal persons engaged in the reception, processing, packaging, storage and transport of bee honey, and who are authorized by the Ministry of Agriculture and Livestock, in the national territory.</w:t>
            </w:r>
          </w:p>
        </w:tc>
      </w:tr>
      <w:tr w14:paraId="0028B4F7" w14:textId="77777777" w:rsidTr="000F6A25">
        <w:tblPrEx>
          <w:tblW w:w="5000" w:type="pct"/>
          <w:tblLayout w:type="fixed"/>
          <w:tblLook w:val="0000"/>
        </w:tblPrEx>
        <w:tc>
          <w:tcPr>
            <w:tcW w:w="695" w:type="dxa"/>
          </w:tcPr>
          <w:p w:rsidR="00A52F73" w:rsidRPr="003A3E55" w:rsidP="003A3E55" w14:paraId="053EA09A" w14:textId="77777777">
            <w:pPr>
              <w:spacing w:before="120" w:after="120"/>
              <w:rPr>
                <w:b/>
              </w:rPr>
            </w:pPr>
            <w:r w:rsidRPr="000D6BFF">
              <w:rPr>
                <w:b/>
              </w:rPr>
              <w:t>7.</w:t>
            </w:r>
          </w:p>
        </w:tc>
        <w:tc>
          <w:tcPr>
            <w:tcW w:w="8285" w:type="dxa"/>
          </w:tcPr>
          <w:p w:rsidR="00A52F73" w:rsidRPr="003A3E55" w:rsidP="00A5462B" w14:paraId="4EA3E22D" w14:textId="77777777">
            <w:pPr>
              <w:spacing w:before="120" w:after="120"/>
            </w:pPr>
            <w:r w:rsidRPr="000D6BFF">
              <w:rPr>
                <w:b/>
              </w:rPr>
              <w:t>Objective and rationale, including the nature of urgent problems where applicable:</w:t>
            </w:r>
            <w:r w:rsidRPr="000D6BFF">
              <w:t xml:space="preserve"> Consumer information, labelling; Protection of human health or safety</w:t>
            </w:r>
          </w:p>
        </w:tc>
      </w:tr>
      <w:tr w14:paraId="56BF5BA7" w14:textId="77777777" w:rsidTr="000F6A25">
        <w:tblPrEx>
          <w:tblW w:w="5000" w:type="pct"/>
          <w:tblLayout w:type="fixed"/>
          <w:tblLook w:val="0000"/>
        </w:tblPrEx>
        <w:tc>
          <w:tcPr>
            <w:tcW w:w="695" w:type="dxa"/>
          </w:tcPr>
          <w:p w:rsidR="00A52F73" w:rsidRPr="003A3E55" w:rsidP="00617B12" w14:paraId="34B30853" w14:textId="77777777">
            <w:pPr>
              <w:spacing w:before="120" w:after="120"/>
              <w:rPr>
                <w:b/>
              </w:rPr>
            </w:pPr>
            <w:r w:rsidRPr="000D6BFF">
              <w:rPr>
                <w:b/>
              </w:rPr>
              <w:t>8.</w:t>
            </w:r>
          </w:p>
        </w:tc>
        <w:tc>
          <w:tcPr>
            <w:tcW w:w="8285" w:type="dxa"/>
          </w:tcPr>
          <w:p w:rsidR="00145C22" w:rsidRPr="000D6BFF" w:rsidP="005037AE" w14:paraId="53533284" w14:textId="77777777">
            <w:pPr>
              <w:spacing w:before="120" w:after="120"/>
              <w:rPr>
                <w:bCs/>
              </w:rPr>
            </w:pPr>
            <w:r w:rsidRPr="000D6BFF">
              <w:rPr>
                <w:b/>
              </w:rPr>
              <w:t>Relevant documents:</w:t>
            </w:r>
            <w:r w:rsidRPr="000D6BFF">
              <w:t xml:space="preserve"> </w:t>
            </w:r>
          </w:p>
          <w:p w:rsidR="00AF251E" w:rsidRPr="008A6F94" w:rsidP="005037AE" w14:paraId="39C5DC6D" w14:textId="77777777">
            <w:pPr>
              <w:numPr>
                <w:ilvl w:val="0"/>
                <w:numId w:val="16"/>
              </w:numPr>
              <w:spacing w:before="120" w:after="120"/>
              <w:rPr>
                <w:lang w:val="es-ES_tradnl"/>
              </w:rPr>
            </w:pPr>
            <w:r w:rsidRPr="008A6F94">
              <w:rPr>
                <w:i/>
                <w:iCs/>
                <w:lang w:val="es-ES_tradnl"/>
              </w:rPr>
              <w:t>RTCA 67.06.55:09 BUENAS PRÁCTICA DE HIGIENE PARA ALIMENTOS NO PROCESADOS Y SEMIPROCESADOS</w:t>
            </w:r>
            <w:r w:rsidRPr="008A6F94">
              <w:rPr>
                <w:lang w:val="es-ES_tradnl"/>
              </w:rPr>
              <w:t>, in its version in force.</w:t>
            </w:r>
          </w:p>
          <w:p w:rsidR="00AF251E" w:rsidRPr="008A6F94" w:rsidP="005037AE" w14:paraId="76A61FB4" w14:textId="77777777">
            <w:pPr>
              <w:numPr>
                <w:ilvl w:val="0"/>
                <w:numId w:val="17"/>
              </w:numPr>
              <w:spacing w:before="120" w:after="120"/>
              <w:rPr>
                <w:lang w:val="es-ES_tradnl"/>
              </w:rPr>
            </w:pPr>
            <w:r w:rsidRPr="008A6F94">
              <w:rPr>
                <w:i/>
                <w:iCs/>
                <w:lang w:val="es-ES_tradnl"/>
              </w:rPr>
              <w:t>RTS 13.02.02:14 AGUA.</w:t>
            </w:r>
            <w:r w:rsidRPr="008A6F94">
              <w:rPr>
                <w:lang w:val="es-ES_tradnl"/>
              </w:rPr>
              <w:t xml:space="preserve"> </w:t>
            </w:r>
            <w:r w:rsidRPr="008A6F94">
              <w:rPr>
                <w:i/>
                <w:iCs/>
                <w:lang w:val="es-ES_tradnl"/>
              </w:rPr>
              <w:t>AGUA DE CONSUMO HUMANO.</w:t>
            </w:r>
            <w:r w:rsidRPr="008A6F94">
              <w:rPr>
                <w:lang w:val="es-ES_tradnl"/>
              </w:rPr>
              <w:t xml:space="preserve"> </w:t>
            </w:r>
            <w:r w:rsidRPr="008A6F94">
              <w:rPr>
                <w:i/>
                <w:iCs/>
                <w:lang w:val="es-ES_tradnl"/>
              </w:rPr>
              <w:t>REQUISITOS DE CALIDAD E INOCUIDAD</w:t>
            </w:r>
            <w:r w:rsidRPr="008A6F94">
              <w:rPr>
                <w:lang w:val="es-ES_tradnl"/>
              </w:rPr>
              <w:t>, in its version in force.</w:t>
            </w:r>
          </w:p>
          <w:p w:rsidR="00AF251E" w:rsidRPr="003A3E55" w:rsidP="005037AE" w14:paraId="5E1B41FC" w14:textId="77777777">
            <w:pPr>
              <w:numPr>
                <w:ilvl w:val="0"/>
                <w:numId w:val="18"/>
              </w:numPr>
              <w:spacing w:before="120" w:after="120"/>
            </w:pPr>
            <w:r w:rsidRPr="008A6F94">
              <w:rPr>
                <w:i/>
                <w:iCs/>
                <w:lang w:val="es-ES_tradnl"/>
              </w:rPr>
              <w:t>Ley de protección a la sanidad vegetal, salud animal e inocuidad de los alimentos no procesados de origen vegetal o animal.</w:t>
            </w:r>
            <w:r w:rsidRPr="008A6F94">
              <w:rPr>
                <w:lang w:val="es-ES_tradnl"/>
              </w:rPr>
              <w:t xml:space="preserve"> </w:t>
            </w:r>
            <w:r w:rsidRPr="000D6BFF">
              <w:t>Official Journal No. 81, Vol. No. 447, dated 5 May 2025, of Legislative Decree 282.</w:t>
            </w:r>
          </w:p>
        </w:tc>
      </w:tr>
      <w:tr w14:paraId="27C6565C" w14:textId="77777777" w:rsidTr="000F6A25">
        <w:tblPrEx>
          <w:tblW w:w="5000" w:type="pct"/>
          <w:tblLayout w:type="fixed"/>
          <w:tblLook w:val="0000"/>
        </w:tblPrEx>
        <w:tc>
          <w:tcPr>
            <w:tcW w:w="695" w:type="dxa"/>
          </w:tcPr>
          <w:p w:rsidR="00AF251E" w:rsidRPr="003A3E55" w:rsidP="003A3E55" w14:paraId="062C0038" w14:textId="77777777">
            <w:pPr>
              <w:spacing w:before="120" w:after="120"/>
              <w:rPr>
                <w:b/>
              </w:rPr>
            </w:pPr>
            <w:r w:rsidRPr="000D6BFF">
              <w:rPr>
                <w:b/>
              </w:rPr>
              <w:t>9.</w:t>
            </w:r>
          </w:p>
        </w:tc>
        <w:tc>
          <w:tcPr>
            <w:tcW w:w="8285" w:type="dxa"/>
          </w:tcPr>
          <w:p w:rsidR="00AF251E" w:rsidRPr="000D6BFF" w:rsidP="009F7158" w14:paraId="6111230F" w14:textId="77777777">
            <w:pPr>
              <w:spacing w:before="120" w:after="120"/>
              <w:rPr>
                <w:bCs/>
              </w:rPr>
            </w:pPr>
            <w:r w:rsidRPr="000D6BFF">
              <w:rPr>
                <w:b/>
              </w:rPr>
              <w:t>Proposed date of adoption:</w:t>
            </w:r>
            <w:r w:rsidRPr="000D6BFF">
              <w:t xml:space="preserve"> To be determined.</w:t>
            </w:r>
          </w:p>
          <w:p w:rsidR="00AF251E" w:rsidRPr="003A3E55" w:rsidP="009F7158" w14:paraId="697AD18F" w14:textId="77777777">
            <w:pPr>
              <w:spacing w:after="120"/>
              <w:rPr>
                <w:b/>
              </w:rPr>
            </w:pPr>
            <w:r w:rsidRPr="000D6BFF">
              <w:rPr>
                <w:b/>
              </w:rPr>
              <w:t>Proposed date of entry into force:</w:t>
            </w:r>
            <w:r w:rsidRPr="000D6BFF">
              <w:t xml:space="preserve"> To be determined.</w:t>
            </w:r>
          </w:p>
        </w:tc>
      </w:tr>
      <w:tr w14:paraId="5F4E66F4" w14:textId="77777777" w:rsidTr="000F6A25">
        <w:tblPrEx>
          <w:tblW w:w="5000" w:type="pct"/>
          <w:tblLayout w:type="fixed"/>
          <w:tblLook w:val="0000"/>
        </w:tblPrEx>
        <w:tc>
          <w:tcPr>
            <w:tcW w:w="695" w:type="dxa"/>
            <w:tcBorders>
              <w:bottom w:val="double" w:sz="4" w:space="0" w:color="auto"/>
            </w:tcBorders>
          </w:tcPr>
          <w:p w:rsidR="00A52F73" w:rsidRPr="003A3E55" w:rsidP="003A3E55" w14:paraId="7EEBC11D" w14:textId="77777777">
            <w:pPr>
              <w:spacing w:before="120" w:after="120"/>
              <w:rPr>
                <w:b/>
              </w:rPr>
            </w:pPr>
            <w:r w:rsidRPr="000D6BFF">
              <w:rPr>
                <w:b/>
              </w:rPr>
              <w:t>10.</w:t>
            </w:r>
          </w:p>
        </w:tc>
        <w:tc>
          <w:tcPr>
            <w:tcW w:w="8285" w:type="dxa"/>
            <w:tcBorders>
              <w:bottom w:val="double" w:sz="4" w:space="0" w:color="auto"/>
            </w:tcBorders>
          </w:tcPr>
          <w:p w:rsidR="005F0B7B" w:rsidRPr="000D6BFF" w:rsidP="005F0B7B" w14:paraId="355C707E" w14:textId="77777777">
            <w:pPr>
              <w:tabs>
                <w:tab w:val="left" w:pos="1418"/>
                <w:tab w:val="left" w:pos="2127"/>
                <w:tab w:val="left" w:pos="2835"/>
                <w:tab w:val="left" w:pos="3402"/>
              </w:tabs>
              <w:spacing w:before="120" w:after="120"/>
              <w:rPr>
                <w:bCs/>
              </w:rPr>
            </w:pPr>
            <w:r w:rsidRPr="000D6BFF">
              <w:rPr>
                <w:b/>
              </w:rPr>
              <w:t>Provision of comments:</w:t>
            </w:r>
          </w:p>
          <w:p w:rsidR="00A52F73" w:rsidRPr="000D6BFF" w:rsidP="003A3E55" w14:paraId="36546E76" w14:textId="77777777">
            <w:pPr>
              <w:spacing w:before="120" w:after="120"/>
              <w:rPr>
                <w:bCs/>
              </w:rPr>
            </w:pPr>
            <w:r w:rsidRPr="000D6BFF">
              <w:rPr>
                <w:b/>
              </w:rPr>
              <w:t>Final date for comments:</w:t>
            </w:r>
            <w:r w:rsidRPr="000D6BFF">
              <w:t xml:space="preserve"> 13 September 2026</w:t>
            </w:r>
          </w:p>
          <w:p w:rsidR="005F0B7B" w:rsidRPr="000D6BFF" w:rsidP="005F0B7B" w14:paraId="601E72CA" w14:textId="77777777">
            <w:pPr>
              <w:tabs>
                <w:tab w:val="left" w:pos="1418"/>
                <w:tab w:val="left" w:pos="2127"/>
                <w:tab w:val="left" w:pos="2835"/>
                <w:tab w:val="left" w:pos="3402"/>
              </w:tabs>
              <w:spacing w:before="120" w:after="120"/>
              <w:rPr>
                <w:b/>
                <w:bCs/>
              </w:rPr>
            </w:pPr>
            <w:r w:rsidRPr="000D6BFF">
              <w:rPr>
                <w:b/>
              </w:rPr>
              <w:t>[X] 60 days from notification</w:t>
            </w:r>
            <w:r w:rsidRPr="000D6BFF">
              <w:t xml:space="preserve"> </w:t>
            </w:r>
          </w:p>
          <w:p w:rsidR="005F0B7B" w:rsidRPr="000D6BFF" w:rsidP="003A3E55" w14:paraId="0B26ABFE" w14:textId="77777777">
            <w:pPr>
              <w:spacing w:before="120" w:after="120"/>
              <w:rPr>
                <w:bCs/>
              </w:rPr>
            </w:pPr>
            <w:r w:rsidRPr="000D6BFF">
              <w:rPr>
                <w:b/>
              </w:rPr>
              <w:t>Contact details of agency or authority designated to handle comments regarding the notification:</w:t>
            </w:r>
            <w:r w:rsidRPr="000D6BFF">
              <w:t xml:space="preserve"> </w:t>
            </w:r>
          </w:p>
          <w:p w:rsidR="00F70F54" w:rsidRPr="008A6F94" w:rsidP="003A3E55" w14:paraId="65A0E55F" w14:textId="77777777">
            <w:pPr>
              <w:rPr>
                <w:bCs/>
                <w:lang w:val="es-ES_tradnl"/>
              </w:rPr>
            </w:pPr>
            <w:r w:rsidRPr="008A6F94">
              <w:rPr>
                <w:i/>
                <w:iCs/>
                <w:lang w:val="es-ES_tradnl"/>
              </w:rPr>
              <w:t>Ministerio de Economía</w:t>
            </w:r>
            <w:r w:rsidRPr="008A6F94">
              <w:rPr>
                <w:lang w:val="es-ES_tradnl"/>
              </w:rPr>
              <w:t>, MINEC (Ministry of Economic Affairs)</w:t>
            </w:r>
          </w:p>
          <w:p w:rsidR="00F70F54" w:rsidRPr="008A6F94" w:rsidP="003A3E55" w14:paraId="688C4CE5" w14:textId="77777777">
            <w:pPr>
              <w:rPr>
                <w:bCs/>
                <w:lang w:val="es-ES_tradnl"/>
              </w:rPr>
            </w:pPr>
            <w:r w:rsidRPr="008A6F94">
              <w:rPr>
                <w:lang w:val="es-ES_tradnl"/>
              </w:rPr>
              <w:t>Edificio C-2, Tercera planta Centro de Gobierno, Plan Maestro</w:t>
            </w:r>
          </w:p>
          <w:p w:rsidR="00F70F54" w:rsidRPr="008A6F94" w:rsidP="003A3E55" w14:paraId="696ECFCB" w14:textId="77777777">
            <w:pPr>
              <w:rPr>
                <w:bCs/>
                <w:lang w:val="es-ES_tradnl"/>
              </w:rPr>
            </w:pPr>
            <w:r w:rsidRPr="008A6F94">
              <w:rPr>
                <w:lang w:val="es-ES_tradnl"/>
              </w:rPr>
              <w:t>Calle Guadalupe y Alameda Juan Pablo II</w:t>
            </w:r>
          </w:p>
          <w:p w:rsidR="00F70F54" w:rsidRPr="008A6F94" w:rsidP="003A3E55" w14:paraId="5B26A072" w14:textId="77777777">
            <w:pPr>
              <w:rPr>
                <w:bCs/>
                <w:lang w:val="es-ES_tradnl"/>
              </w:rPr>
            </w:pPr>
            <w:r w:rsidRPr="008A6F94">
              <w:rPr>
                <w:lang w:val="es-ES_tradnl"/>
              </w:rPr>
              <w:t>San Salvador</w:t>
            </w:r>
          </w:p>
          <w:p w:rsidR="00F70F54" w:rsidRPr="008A6F94" w:rsidP="003A3E55" w14:paraId="73E61F5C" w14:textId="77777777">
            <w:pPr>
              <w:rPr>
                <w:bCs/>
                <w:lang w:val="es-ES_tradnl"/>
              </w:rPr>
            </w:pPr>
            <w:r w:rsidRPr="008A6F94">
              <w:rPr>
                <w:lang w:val="es-ES_tradnl"/>
              </w:rPr>
              <w:t>Tel.: (+503) 2590-5788</w:t>
            </w:r>
          </w:p>
          <w:p w:rsidR="00F70F54" w:rsidRPr="008A6F94" w:rsidP="003A3E55" w14:paraId="5E4E067B" w14:textId="77777777">
            <w:pPr>
              <w:rPr>
                <w:bCs/>
                <w:lang w:val="es-ES_tradnl"/>
              </w:rPr>
            </w:pPr>
            <w:r w:rsidRPr="008A6F94">
              <w:rPr>
                <w:lang w:val="es-ES_tradnl"/>
              </w:rPr>
              <w:t xml:space="preserve">Email: </w:t>
            </w:r>
            <w:hyperlink r:id="rId6" w:history="1">
              <w:r w:rsidRPr="008A6F94">
                <w:rPr>
                  <w:color w:val="0000FF"/>
                  <w:u w:val="single"/>
                  <w:lang w:val="es-ES_tradnl"/>
                </w:rPr>
                <w:t>daci@economia.gob.sv</w:t>
              </w:r>
            </w:hyperlink>
            <w:r w:rsidRPr="008A6F94">
              <w:rPr>
                <w:lang w:val="es-ES_tradnl"/>
              </w:rPr>
              <w:t xml:space="preserve">, </w:t>
            </w:r>
            <w:hyperlink r:id="rId7" w:history="1">
              <w:r w:rsidRPr="008A6F94">
                <w:rPr>
                  <w:color w:val="0000FF"/>
                  <w:u w:val="single"/>
                  <w:lang w:val="es-ES_tradnl"/>
                </w:rPr>
                <w:t>omc_es@economia.gob.sv</w:t>
              </w:r>
            </w:hyperlink>
          </w:p>
          <w:p w:rsidR="00F70F54" w:rsidRPr="000D6BFF" w:rsidP="003A3E55" w14:paraId="725B7279" w14:textId="77777777">
            <w:pPr>
              <w:rPr>
                <w:bCs/>
              </w:rPr>
            </w:pPr>
            <w:r w:rsidRPr="000D6BFF">
              <w:t xml:space="preserve">Website: </w:t>
            </w:r>
            <w:hyperlink r:id="rId8" w:tgtFrame="_blank" w:history="1">
              <w:r w:rsidRPr="000D6BFF">
                <w:rPr>
                  <w:color w:val="0000FF"/>
                  <w:u w:val="single"/>
                </w:rPr>
                <w:t>http://www.economia.gob.sv</w:t>
              </w:r>
            </w:hyperlink>
          </w:p>
          <w:p w:rsidR="00F70F54" w:rsidRPr="008A6F94" w:rsidP="003A3E55" w14:paraId="39438B56" w14:textId="77777777">
            <w:pPr>
              <w:rPr>
                <w:bCs/>
                <w:lang w:val="es-ES_tradnl"/>
              </w:rPr>
            </w:pPr>
            <w:r w:rsidRPr="008A6F94">
              <w:rPr>
                <w:i/>
                <w:iCs/>
                <w:lang w:val="es-ES_tradnl"/>
              </w:rPr>
              <w:t>Consejo Nacional de Calidad</w:t>
            </w:r>
            <w:r w:rsidRPr="008A6F94">
              <w:rPr>
                <w:lang w:val="es-ES_tradnl"/>
              </w:rPr>
              <w:t xml:space="preserve"> (National Quality Council)</w:t>
            </w:r>
          </w:p>
          <w:p w:rsidR="00F70F54" w:rsidRPr="008A6F94" w:rsidP="003A3E55" w14:paraId="6F4533FD" w14:textId="77777777">
            <w:pPr>
              <w:rPr>
                <w:bCs/>
                <w:lang w:val="es-ES_tradnl"/>
              </w:rPr>
            </w:pPr>
            <w:r w:rsidRPr="008A6F94">
              <w:rPr>
                <w:i/>
                <w:iCs/>
                <w:lang w:val="es-ES_tradnl"/>
              </w:rPr>
              <w:t>Organismo Salvadoreño de Reglamentación Técnica</w:t>
            </w:r>
            <w:r w:rsidRPr="008A6F94">
              <w:rPr>
                <w:lang w:val="es-ES_tradnl"/>
              </w:rPr>
              <w:t>, OSARTEC (Salvadoran Technical Regulation Agency)</w:t>
            </w:r>
          </w:p>
          <w:p w:rsidR="00F70F54" w:rsidRPr="008A6F94" w:rsidP="003A3E55" w14:paraId="4CE85144" w14:textId="77777777">
            <w:pPr>
              <w:rPr>
                <w:bCs/>
                <w:lang w:val="es-ES_tradnl"/>
              </w:rPr>
            </w:pPr>
            <w:r w:rsidRPr="008A6F94">
              <w:rPr>
                <w:lang w:val="es-ES_tradnl"/>
              </w:rPr>
              <w:t>Boulevard San Bartolo y Calle Lempa, costado Norte del INCAF, Edificio CNC, Distrito de Ilopango, Municipio de San Salvador Este, El Salvador</w:t>
            </w:r>
          </w:p>
          <w:p w:rsidR="00F70F54" w:rsidRPr="000D6BFF" w:rsidP="003A3E55" w14:paraId="07828E53" w14:textId="77777777">
            <w:pPr>
              <w:rPr>
                <w:bCs/>
              </w:rPr>
            </w:pPr>
            <w:r w:rsidRPr="000D6BFF">
              <w:t xml:space="preserve">Website: </w:t>
            </w:r>
            <w:hyperlink r:id="rId9" w:tgtFrame="_blank" w:history="1">
              <w:r w:rsidRPr="000D6BFF">
                <w:rPr>
                  <w:color w:val="0000FF"/>
                  <w:u w:val="single"/>
                </w:rPr>
                <w:t>https://osartec.gob.sv/</w:t>
              </w:r>
            </w:hyperlink>
          </w:p>
          <w:p w:rsidR="00F70F54" w:rsidRPr="000D6BFF" w:rsidP="003A3E55" w14:paraId="369AB9DB" w14:textId="77777777">
            <w:pPr>
              <w:rPr>
                <w:bCs/>
              </w:rPr>
            </w:pPr>
            <w:r w:rsidRPr="000D6BFF">
              <w:t>Tel.: (+503) 2590 5335; (+503) 2590 5338</w:t>
            </w:r>
          </w:p>
          <w:p w:rsidR="00F70F54" w:rsidRPr="000D6BFF" w:rsidP="003A3E55" w14:paraId="68D8C6C5" w14:textId="77777777">
            <w:pPr>
              <w:spacing w:after="120"/>
              <w:rPr>
                <w:bCs/>
              </w:rPr>
            </w:pPr>
            <w:r w:rsidRPr="000D6BFF">
              <w:t xml:space="preserve">Email: </w:t>
            </w:r>
            <w:hyperlink r:id="rId10" w:history="1">
              <w:r w:rsidRPr="000D6BFF">
                <w:rPr>
                  <w:color w:val="0000FF"/>
                  <w:u w:val="single"/>
                </w:rPr>
                <w:t>consultasreglamento@osartec.gob.sv</w:t>
              </w:r>
            </w:hyperlink>
          </w:p>
        </w:tc>
      </w:tr>
    </w:tbl>
    <w:p w:rsidR="00AF251E" w:rsidRPr="000D6BFF" w:rsidP="00C94F02" w14:paraId="5DD0945A" w14:textId="77777777">
      <w:pPr>
        <w:jc w:val="center"/>
      </w:pPr>
    </w:p>
    <w:sectPr w:rsidSect="000D6BFF">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0D6BFF" w:rsidP="000D6BFF" w14:paraId="6E801C67" w14:textId="7126066B">
    <w:pPr>
      <w:pStyle w:val="Footer"/>
    </w:pPr>
    <w:r w:rsidRPr="000D6BF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0D6BFF" w:rsidP="000D6BFF" w14:paraId="6410444E" w14:textId="517E8541">
    <w:pPr>
      <w:pStyle w:val="Footer"/>
    </w:pPr>
    <w:r w:rsidRPr="000D6BF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0D6BFF" w:rsidP="000D6BFF" w14:paraId="630B0838" w14:textId="6FD692AF">
    <w:pPr>
      <w:pStyle w:val="Footer"/>
    </w:pPr>
    <w:r w:rsidRPr="000D6BF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6BFF" w:rsidRPr="000D6BFF" w:rsidP="000D6BFF" w14:paraId="7965E54A" w14:textId="77777777">
    <w:pPr>
      <w:pStyle w:val="Header"/>
      <w:spacing w:after="240"/>
      <w:jc w:val="center"/>
    </w:pPr>
    <w:r w:rsidRPr="000D6BFF">
      <w:t>G/TBT/N/SLV/242</w:t>
    </w:r>
  </w:p>
  <w:p w:rsidR="000D6BFF" w:rsidRPr="000D6BFF" w:rsidP="000D6BFF" w14:paraId="551A314E" w14:textId="77777777">
    <w:pPr>
      <w:pStyle w:val="Header"/>
      <w:pBdr>
        <w:bottom w:val="single" w:sz="4" w:space="1" w:color="auto"/>
      </w:pBdr>
      <w:jc w:val="center"/>
    </w:pPr>
    <w:r w:rsidRPr="000D6BFF">
      <w:t xml:space="preserve">- </w:t>
    </w:r>
    <w:r w:rsidRPr="000D6BFF">
      <w:fldChar w:fldCharType="begin"/>
    </w:r>
    <w:r w:rsidRPr="000D6BFF">
      <w:instrText xml:space="preserve"> PAGE  \* Arabic  \* MERGEFORMAT </w:instrText>
    </w:r>
    <w:r w:rsidRPr="000D6BFF">
      <w:fldChar w:fldCharType="separate"/>
    </w:r>
    <w:r w:rsidRPr="000D6BFF">
      <w:t>1</w:t>
    </w:r>
    <w:r w:rsidRPr="000D6BFF">
      <w:fldChar w:fldCharType="end"/>
    </w:r>
    <w:r w:rsidRPr="000D6BFF">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6BFF" w:rsidRPr="000D6BFF" w:rsidP="000D6BFF" w14:paraId="2ABE8B4C" w14:textId="77777777">
    <w:pPr>
      <w:pStyle w:val="Header"/>
      <w:spacing w:after="240"/>
      <w:jc w:val="center"/>
    </w:pPr>
    <w:r w:rsidRPr="000D6BFF">
      <w:t>G/TBT/N/SLV/242</w:t>
    </w:r>
  </w:p>
  <w:p w:rsidR="000D6BFF" w:rsidRPr="000D6BFF" w:rsidP="000D6BFF" w14:paraId="6AF2A30C" w14:textId="77777777">
    <w:pPr>
      <w:pStyle w:val="Header"/>
      <w:pBdr>
        <w:bottom w:val="single" w:sz="4" w:space="1" w:color="auto"/>
      </w:pBdr>
      <w:jc w:val="center"/>
    </w:pPr>
    <w:r w:rsidRPr="000D6BFF">
      <w:t xml:space="preserve">- </w:t>
    </w:r>
    <w:r w:rsidRPr="000D6BFF">
      <w:fldChar w:fldCharType="begin"/>
    </w:r>
    <w:r w:rsidRPr="000D6BFF">
      <w:instrText xml:space="preserve"> PAGE  \* Arabic  \* MERGEFORMAT </w:instrText>
    </w:r>
    <w:r w:rsidRPr="000D6BFF">
      <w:fldChar w:fldCharType="separate"/>
    </w:r>
    <w:r w:rsidRPr="000D6BFF">
      <w:t>2</w:t>
    </w:r>
    <w:r w:rsidRPr="000D6BFF">
      <w:fldChar w:fldCharType="end"/>
    </w:r>
    <w:r w:rsidRPr="000D6BF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312AF013" w14:textId="77777777" w:rsidTr="000D6BFF">
      <w:tblPrEx>
        <w:tblW w:w="5000" w:type="pct"/>
        <w:jc w:val="center"/>
        <w:tblLook w:val="04A0"/>
      </w:tblPrEx>
      <w:trPr>
        <w:trHeight w:val="240"/>
        <w:jc w:val="center"/>
      </w:trPr>
      <w:tc>
        <w:tcPr>
          <w:tcW w:w="2053" w:type="pct"/>
          <w:tcMar>
            <w:left w:w="108" w:type="dxa"/>
            <w:right w:w="108" w:type="dxa"/>
          </w:tcMar>
          <w:vAlign w:val="center"/>
        </w:tcPr>
        <w:p w:rsidR="000D6BFF" w:rsidRPr="000D6BFF" w:rsidP="000D6BFF" w14:paraId="50A08F7D" w14:textId="77777777">
          <w:pPr>
            <w:rPr>
              <w:rFonts w:eastAsia="Verdana" w:cs="Verdana"/>
              <w:noProof/>
              <w:szCs w:val="18"/>
              <w:lang w:eastAsia="en-GB"/>
            </w:rPr>
          </w:pPr>
        </w:p>
      </w:tc>
      <w:tc>
        <w:tcPr>
          <w:tcW w:w="2947" w:type="pct"/>
          <w:gridSpan w:val="2"/>
          <w:tcMar>
            <w:left w:w="108" w:type="dxa"/>
            <w:right w:w="108" w:type="dxa"/>
          </w:tcMar>
          <w:vAlign w:val="center"/>
        </w:tcPr>
        <w:p w:rsidR="000D6BFF" w:rsidRPr="000D6BFF" w:rsidP="000D6BFF" w14:paraId="3AAD9B48" w14:textId="77777777">
          <w:pPr>
            <w:jc w:val="right"/>
            <w:rPr>
              <w:rFonts w:eastAsia="Verdana" w:cs="Verdana"/>
              <w:b/>
              <w:color w:val="FF0000"/>
              <w:szCs w:val="18"/>
            </w:rPr>
          </w:pPr>
        </w:p>
      </w:tc>
    </w:tr>
    <w:tr w14:paraId="1567FAAD" w14:textId="77777777" w:rsidTr="000D6BFF">
      <w:tblPrEx>
        <w:tblW w:w="5000" w:type="pct"/>
        <w:jc w:val="center"/>
        <w:tblLook w:val="04A0"/>
      </w:tblPrEx>
      <w:trPr>
        <w:trHeight w:val="213"/>
        <w:jc w:val="center"/>
      </w:trPr>
      <w:tc>
        <w:tcPr>
          <w:tcW w:w="2053" w:type="pct"/>
          <w:vMerge w:val="restart"/>
          <w:tcMar>
            <w:left w:w="0" w:type="dxa"/>
            <w:right w:w="0" w:type="dxa"/>
          </w:tcMar>
        </w:tcPr>
        <w:p w:rsidR="000D6BFF" w:rsidRPr="000D6BFF" w:rsidP="000D6BFF" w14:paraId="5748D75A" w14:textId="20167876">
          <w:pPr>
            <w:jc w:val="left"/>
            <w:rPr>
              <w:rFonts w:eastAsia="Verdana" w:cs="Verdana"/>
              <w:szCs w:val="18"/>
            </w:rPr>
          </w:pPr>
          <w:r w:rsidRPr="000D6BFF">
            <w:rPr>
              <w:rFonts w:eastAsia="Verdana" w:cs="Verdana"/>
              <w:noProof/>
              <w:szCs w:val="18"/>
            </w:rPr>
            <w:drawing>
              <wp:inline distT="0" distB="0" distL="0" distR="0">
                <wp:extent cx="2415902" cy="720090"/>
                <wp:effectExtent l="0" t="0" r="3810" b="3810"/>
                <wp:docPr id="580609499" name="Picture 1"/>
                <wp:cNvGraphicFramePr/>
                <a:graphic xmlns:a="http://schemas.openxmlformats.org/drawingml/2006/main">
                  <a:graphicData uri="http://schemas.openxmlformats.org/drawingml/2006/picture">
                    <pic:pic xmlns:pic="http://schemas.openxmlformats.org/drawingml/2006/picture">
                      <pic:nvPicPr>
                        <pic:cNvPr id="580609499"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0D6BFF" w:rsidRPr="000D6BFF" w:rsidP="000D6BFF" w14:paraId="207A785B" w14:textId="77777777">
          <w:pPr>
            <w:jc w:val="right"/>
            <w:rPr>
              <w:rFonts w:eastAsia="Verdana" w:cs="Verdana"/>
              <w:b/>
              <w:szCs w:val="18"/>
            </w:rPr>
          </w:pPr>
        </w:p>
      </w:tc>
    </w:tr>
    <w:tr w14:paraId="10C5AD21" w14:textId="77777777" w:rsidTr="000D6BFF">
      <w:tblPrEx>
        <w:tblW w:w="5000" w:type="pct"/>
        <w:jc w:val="center"/>
        <w:tblLook w:val="04A0"/>
      </w:tblPrEx>
      <w:trPr>
        <w:trHeight w:val="868"/>
        <w:jc w:val="center"/>
      </w:trPr>
      <w:tc>
        <w:tcPr>
          <w:tcW w:w="2053" w:type="pct"/>
          <w:vMerge/>
          <w:tcMar>
            <w:left w:w="108" w:type="dxa"/>
            <w:right w:w="108" w:type="dxa"/>
          </w:tcMar>
        </w:tcPr>
        <w:p w:rsidR="000D6BFF" w:rsidRPr="000D6BFF" w:rsidP="000D6BFF" w14:paraId="51087A7D" w14:textId="77777777">
          <w:pPr>
            <w:jc w:val="left"/>
            <w:rPr>
              <w:rFonts w:eastAsia="Verdana" w:cs="Verdana"/>
              <w:noProof/>
              <w:szCs w:val="18"/>
              <w:lang w:eastAsia="en-GB"/>
            </w:rPr>
          </w:pPr>
        </w:p>
      </w:tc>
      <w:tc>
        <w:tcPr>
          <w:tcW w:w="2947" w:type="pct"/>
          <w:gridSpan w:val="2"/>
          <w:tcMar>
            <w:left w:w="108" w:type="dxa"/>
            <w:right w:w="108" w:type="dxa"/>
          </w:tcMar>
        </w:tcPr>
        <w:p w:rsidR="000D6BFF" w:rsidRPr="000D6BFF" w:rsidP="000D6BFF" w14:paraId="4D4FFDBA" w14:textId="49B771A9">
          <w:pPr>
            <w:jc w:val="right"/>
            <w:rPr>
              <w:rFonts w:eastAsia="Verdana" w:cs="Verdana"/>
              <w:b/>
              <w:szCs w:val="18"/>
            </w:rPr>
          </w:pPr>
          <w:r w:rsidRPr="000D6BFF">
            <w:rPr>
              <w:b/>
              <w:szCs w:val="18"/>
            </w:rPr>
            <w:t>G/TBT/N/SLV/242</w:t>
          </w:r>
        </w:p>
      </w:tc>
    </w:tr>
    <w:tr w14:paraId="31173CA6" w14:textId="77777777" w:rsidTr="000D6BFF">
      <w:tblPrEx>
        <w:tblW w:w="5000" w:type="pct"/>
        <w:jc w:val="center"/>
        <w:tblLook w:val="04A0"/>
      </w:tblPrEx>
      <w:trPr>
        <w:trHeight w:val="240"/>
        <w:jc w:val="center"/>
      </w:trPr>
      <w:tc>
        <w:tcPr>
          <w:tcW w:w="2053" w:type="pct"/>
          <w:vMerge/>
          <w:tcMar>
            <w:left w:w="108" w:type="dxa"/>
            <w:right w:w="108" w:type="dxa"/>
          </w:tcMar>
          <w:vAlign w:val="center"/>
        </w:tcPr>
        <w:p w:rsidR="000D6BFF" w:rsidRPr="000D6BFF" w:rsidP="000D6BFF" w14:paraId="0A8F7554" w14:textId="77777777">
          <w:pPr>
            <w:rPr>
              <w:rFonts w:eastAsia="Verdana" w:cs="Verdana"/>
              <w:szCs w:val="18"/>
            </w:rPr>
          </w:pPr>
        </w:p>
      </w:tc>
      <w:tc>
        <w:tcPr>
          <w:tcW w:w="2947" w:type="pct"/>
          <w:gridSpan w:val="2"/>
          <w:tcMar>
            <w:left w:w="108" w:type="dxa"/>
            <w:right w:w="108" w:type="dxa"/>
          </w:tcMar>
          <w:vAlign w:val="center"/>
        </w:tcPr>
        <w:p w:rsidR="000D6BFF" w:rsidRPr="000D6BFF" w:rsidP="000D6BFF" w14:paraId="3C94BCAE" w14:textId="446F1A6F">
          <w:pPr>
            <w:jc w:val="right"/>
            <w:rPr>
              <w:rFonts w:eastAsia="Verdana" w:cs="Verdana"/>
              <w:szCs w:val="18"/>
            </w:rPr>
          </w:pPr>
          <w:r w:rsidRPr="000D6BFF">
            <w:rPr>
              <w:rFonts w:eastAsia="Verdana" w:cs="Verdana"/>
              <w:szCs w:val="18"/>
            </w:rPr>
            <w:t>15 July 2026</w:t>
          </w:r>
        </w:p>
      </w:tc>
    </w:tr>
    <w:tr w14:paraId="30398A97" w14:textId="77777777" w:rsidTr="000D6BFF">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0D6BFF" w:rsidRPr="000D6BFF" w:rsidP="000D6BFF" w14:paraId="637E732F" w14:textId="7B7F1FDC">
          <w:pPr>
            <w:jc w:val="left"/>
            <w:rPr>
              <w:rFonts w:eastAsia="Verdana" w:cs="Verdana"/>
              <w:b/>
              <w:szCs w:val="18"/>
            </w:rPr>
          </w:pPr>
          <w:r w:rsidRPr="000D6BFF">
            <w:rPr>
              <w:rFonts w:eastAsia="Verdana" w:cs="Verdana"/>
              <w:color w:val="FF0000"/>
              <w:szCs w:val="18"/>
            </w:rPr>
            <w:t>(26-5093)</w:t>
          </w:r>
        </w:p>
      </w:tc>
      <w:tc>
        <w:tcPr>
          <w:tcW w:w="1799" w:type="pct"/>
          <w:tcBorders>
            <w:bottom w:val="single" w:sz="4" w:space="0" w:color="auto"/>
          </w:tcBorders>
          <w:tcMar>
            <w:top w:w="0" w:type="dxa"/>
            <w:left w:w="108" w:type="dxa"/>
            <w:bottom w:w="57" w:type="dxa"/>
            <w:right w:w="108" w:type="dxa"/>
          </w:tcMar>
          <w:vAlign w:val="bottom"/>
        </w:tcPr>
        <w:p w:rsidR="000D6BFF" w:rsidRPr="000D6BFF" w:rsidP="000D6BFF" w14:paraId="0515CBD6" w14:textId="0C0F0384">
          <w:pPr>
            <w:jc w:val="right"/>
            <w:rPr>
              <w:rFonts w:eastAsia="Verdana" w:cs="Verdana"/>
              <w:szCs w:val="18"/>
            </w:rPr>
          </w:pPr>
          <w:r w:rsidRPr="000D6BFF">
            <w:rPr>
              <w:rFonts w:eastAsia="Verdana" w:cs="Verdana"/>
              <w:szCs w:val="18"/>
            </w:rPr>
            <w:t xml:space="preserve">Page: </w:t>
          </w:r>
          <w:r w:rsidRPr="000D6BFF">
            <w:rPr>
              <w:rFonts w:eastAsia="Verdana" w:cs="Verdana"/>
              <w:szCs w:val="18"/>
            </w:rPr>
            <w:fldChar w:fldCharType="begin"/>
          </w:r>
          <w:r w:rsidRPr="000D6BFF">
            <w:rPr>
              <w:rFonts w:eastAsia="Verdana" w:cs="Verdana"/>
              <w:szCs w:val="18"/>
            </w:rPr>
            <w:instrText xml:space="preserve"> PAGE  \* Arabic  \* MERGEFORMAT </w:instrText>
          </w:r>
          <w:r w:rsidRPr="000D6BFF">
            <w:rPr>
              <w:rFonts w:eastAsia="Verdana" w:cs="Verdana"/>
              <w:szCs w:val="18"/>
            </w:rPr>
            <w:fldChar w:fldCharType="separate"/>
          </w:r>
          <w:r w:rsidRPr="000D6BFF">
            <w:rPr>
              <w:rFonts w:ascii="Verdana" w:eastAsia="Verdana" w:hAnsi="Verdana" w:cs="Verdana"/>
              <w:sz w:val="18"/>
              <w:szCs w:val="18"/>
              <w:lang w:val="en-GB" w:eastAsia="en-US" w:bidi="ar-SA"/>
            </w:rPr>
            <w:t>1</w:t>
          </w:r>
          <w:r w:rsidRPr="000D6BFF">
            <w:rPr>
              <w:rFonts w:eastAsia="Verdana" w:cs="Verdana"/>
              <w:szCs w:val="18"/>
            </w:rPr>
            <w:fldChar w:fldCharType="end"/>
          </w:r>
          <w:r w:rsidRPr="000D6BFF">
            <w:rPr>
              <w:rFonts w:eastAsia="Verdana" w:cs="Verdana"/>
              <w:szCs w:val="18"/>
            </w:rPr>
            <w:t>/</w:t>
          </w:r>
          <w:r w:rsidRPr="000D6BFF">
            <w:rPr>
              <w:rFonts w:eastAsia="Verdana" w:cs="Verdana"/>
              <w:szCs w:val="18"/>
            </w:rPr>
            <w:fldChar w:fldCharType="begin"/>
          </w:r>
          <w:r w:rsidRPr="000D6BFF">
            <w:rPr>
              <w:rFonts w:eastAsia="Verdana" w:cs="Verdana"/>
              <w:szCs w:val="18"/>
            </w:rPr>
            <w:instrText xml:space="preserve"> NUMPAGES  \# "0" \* Arabic  \* MERGEFORMAT </w:instrText>
          </w:r>
          <w:r w:rsidRPr="000D6BFF">
            <w:rPr>
              <w:rFonts w:eastAsia="Verdana" w:cs="Verdana"/>
              <w:szCs w:val="18"/>
            </w:rPr>
            <w:fldChar w:fldCharType="separate"/>
          </w:r>
          <w:r w:rsidRPr="000D6BFF">
            <w:rPr>
              <w:rFonts w:ascii="Verdana" w:eastAsia="Verdana" w:hAnsi="Verdana" w:cs="Verdana"/>
              <w:sz w:val="18"/>
              <w:szCs w:val="18"/>
              <w:lang w:val="en-GB" w:eastAsia="en-US" w:bidi="ar-SA"/>
            </w:rPr>
            <w:t>2</w:t>
          </w:r>
          <w:r w:rsidRPr="000D6BFF">
            <w:rPr>
              <w:rFonts w:eastAsia="Verdana" w:cs="Verdana"/>
              <w:szCs w:val="18"/>
            </w:rPr>
            <w:fldChar w:fldCharType="end"/>
          </w:r>
        </w:p>
      </w:tc>
    </w:tr>
    <w:tr w14:paraId="691731ED" w14:textId="77777777" w:rsidTr="000D6BFF">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0D6BFF" w:rsidRPr="000D6BFF" w:rsidP="000D6BFF" w14:paraId="2A867F06" w14:textId="2DA5334B">
          <w:pPr>
            <w:jc w:val="left"/>
            <w:rPr>
              <w:rFonts w:eastAsia="Verdana" w:cs="Verdana"/>
              <w:szCs w:val="18"/>
            </w:rPr>
          </w:pPr>
          <w:r w:rsidRPr="000D6BFF">
            <w:rPr>
              <w:b/>
              <w:szCs w:val="18"/>
            </w:rPr>
            <w:t>Committee on Technical Barriers to Trade</w:t>
          </w:r>
        </w:p>
      </w:tc>
      <w:tc>
        <w:tcPr>
          <w:tcW w:w="1799" w:type="pct"/>
          <w:tcBorders>
            <w:top w:val="single" w:sz="4" w:space="0" w:color="auto"/>
          </w:tcBorders>
          <w:tcMar>
            <w:top w:w="113" w:type="dxa"/>
            <w:left w:w="108" w:type="dxa"/>
            <w:bottom w:w="57" w:type="dxa"/>
            <w:right w:w="108" w:type="dxa"/>
          </w:tcMar>
        </w:tcPr>
        <w:p w:rsidR="000D6BFF" w:rsidRPr="000D6BFF" w:rsidP="000D6BFF" w14:paraId="04C3DD8E" w14:textId="087620FF">
          <w:pPr>
            <w:jc w:val="right"/>
            <w:rPr>
              <w:rFonts w:eastAsia="Verdana" w:cs="Verdana"/>
              <w:bCs/>
              <w:szCs w:val="18"/>
            </w:rPr>
          </w:pPr>
          <w:r w:rsidRPr="000D6BFF">
            <w:rPr>
              <w:rFonts w:eastAsia="Verdana" w:cs="Verdana"/>
              <w:bCs/>
              <w:szCs w:val="18"/>
            </w:rPr>
            <w:t>Original: Spanish</w:t>
          </w:r>
        </w:p>
      </w:tc>
    </w:tr>
  </w:tbl>
  <w:p w:rsidR="00DD65B2" w:rsidRPr="000D6BFF" w:rsidP="000D6BFF" w14:paraId="0FE3F43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24813616">
    <w:abstractNumId w:val="8"/>
  </w:num>
  <w:num w:numId="2" w16cid:durableId="1124274580">
    <w:abstractNumId w:val="3"/>
  </w:num>
  <w:num w:numId="3" w16cid:durableId="1680085879">
    <w:abstractNumId w:val="2"/>
  </w:num>
  <w:num w:numId="4" w16cid:durableId="275605234">
    <w:abstractNumId w:val="1"/>
  </w:num>
  <w:num w:numId="5" w16cid:durableId="162402327">
    <w:abstractNumId w:val="0"/>
  </w:num>
  <w:num w:numId="6" w16cid:durableId="1967541990">
    <w:abstractNumId w:val="12"/>
  </w:num>
  <w:num w:numId="7" w16cid:durableId="972949513">
    <w:abstractNumId w:val="10"/>
  </w:num>
  <w:num w:numId="8" w16cid:durableId="583496132">
    <w:abstractNumId w:val="13"/>
  </w:num>
  <w:num w:numId="9" w16cid:durableId="1315450390">
    <w:abstractNumId w:val="9"/>
  </w:num>
  <w:num w:numId="10" w16cid:durableId="1606307106">
    <w:abstractNumId w:val="7"/>
  </w:num>
  <w:num w:numId="11" w16cid:durableId="1958948849">
    <w:abstractNumId w:val="6"/>
  </w:num>
  <w:num w:numId="12" w16cid:durableId="1046834341">
    <w:abstractNumId w:val="5"/>
  </w:num>
  <w:num w:numId="13" w16cid:durableId="850071973">
    <w:abstractNumId w:val="4"/>
  </w:num>
  <w:num w:numId="14" w16cid:durableId="2052073951">
    <w:abstractNumId w:val="11"/>
  </w:num>
  <w:num w:numId="15" w16cid:durableId="10031625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2298826">
    <w:abstractNumId w:val="14"/>
  </w:num>
  <w:num w:numId="17" w16cid:durableId="1724518584">
    <w:abstractNumId w:val="15"/>
  </w:num>
  <w:num w:numId="18" w16cid:durableId="69230972">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D6BFF"/>
    <w:rsid w:val="000F6A25"/>
    <w:rsid w:val="00104D9E"/>
    <w:rsid w:val="00114B29"/>
    <w:rsid w:val="001171A2"/>
    <w:rsid w:val="00120B96"/>
    <w:rsid w:val="001273FC"/>
    <w:rsid w:val="001338F0"/>
    <w:rsid w:val="0014012F"/>
    <w:rsid w:val="001426D0"/>
    <w:rsid w:val="0014434D"/>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1704"/>
    <w:rsid w:val="00466A2B"/>
    <w:rsid w:val="004935F4"/>
    <w:rsid w:val="004B06F7"/>
    <w:rsid w:val="004C19F2"/>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2751"/>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A6F94"/>
    <w:rsid w:val="008E4B39"/>
    <w:rsid w:val="0090284E"/>
    <w:rsid w:val="00912133"/>
    <w:rsid w:val="0091417D"/>
    <w:rsid w:val="00917BFE"/>
    <w:rsid w:val="00920B0A"/>
    <w:rsid w:val="00924FA9"/>
    <w:rsid w:val="009304CB"/>
    <w:rsid w:val="009325EA"/>
    <w:rsid w:val="0093775F"/>
    <w:rsid w:val="00946686"/>
    <w:rsid w:val="009613B7"/>
    <w:rsid w:val="009A0D78"/>
    <w:rsid w:val="009C190B"/>
    <w:rsid w:val="009C4E8C"/>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5184F"/>
    <w:rsid w:val="00C65229"/>
    <w:rsid w:val="00C65F6E"/>
    <w:rsid w:val="00C67AA4"/>
    <w:rsid w:val="00C71274"/>
    <w:rsid w:val="00C94F02"/>
    <w:rsid w:val="00C97117"/>
    <w:rsid w:val="00CA6458"/>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81880"/>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D4E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3A3E55"/>
    <w:rPr>
      <w:rFonts w:ascii="Verdana" w:eastAsia="Times New Roman" w:hAnsi="Verdana"/>
      <w:b/>
      <w:color w:val="006283"/>
      <w:sz w:val="18"/>
      <w:szCs w:val="22"/>
      <w:lang w:val="en-GB"/>
    </w:rPr>
  </w:style>
  <w:style w:type="character" w:customStyle="1" w:styleId="Heading2Char">
    <w:name w:val="Heading 2 Char"/>
    <w:link w:val="Heading2"/>
    <w:uiPriority w:val="2"/>
    <w:rsid w:val="003A3E55"/>
    <w:rPr>
      <w:rFonts w:ascii="Verdana" w:eastAsia="Times New Roman" w:hAnsi="Verdana"/>
      <w:b/>
      <w:bCs/>
      <w:color w:val="006283"/>
      <w:sz w:val="18"/>
      <w:szCs w:val="26"/>
      <w:lang w:val="en-GB"/>
    </w:rPr>
  </w:style>
  <w:style w:type="character" w:customStyle="1" w:styleId="Heading3Char">
    <w:name w:val="Heading 3 Char"/>
    <w:link w:val="Heading3"/>
    <w:uiPriority w:val="2"/>
    <w:rsid w:val="003A3E55"/>
    <w:rPr>
      <w:rFonts w:ascii="Verdana" w:eastAsia="Times New Roman" w:hAnsi="Verdana"/>
      <w:b/>
      <w:bCs/>
      <w:color w:val="006283"/>
      <w:sz w:val="18"/>
      <w:szCs w:val="22"/>
      <w:lang w:val="en-GB"/>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3A3E55"/>
    <w:rPr>
      <w:rFonts w:ascii="Verdana" w:eastAsia="Times New Roman" w:hAnsi="Verdana"/>
      <w:b/>
      <w:iCs/>
      <w:color w:val="006283"/>
      <w:sz w:val="18"/>
      <w:szCs w:val="22"/>
      <w:lang w:val="en-GB"/>
    </w:rPr>
  </w:style>
  <w:style w:type="character" w:customStyle="1" w:styleId="Heading7Char">
    <w:name w:val="Heading 7 Char"/>
    <w:link w:val="Heading7"/>
    <w:uiPriority w:val="2"/>
    <w:rsid w:val="003A3E55"/>
    <w:rPr>
      <w:rFonts w:ascii="Verdana" w:eastAsia="Times New Roman" w:hAnsi="Verdana"/>
      <w:b/>
      <w:iCs/>
      <w:color w:val="006283"/>
      <w:sz w:val="18"/>
      <w:szCs w:val="22"/>
      <w:lang w:val="en-GB"/>
    </w:rPr>
  </w:style>
  <w:style w:type="character" w:customStyle="1" w:styleId="Heading8Char">
    <w:name w:val="Heading 8 Char"/>
    <w:link w:val="Heading8"/>
    <w:uiPriority w:val="2"/>
    <w:rsid w:val="003A3E55"/>
    <w:rPr>
      <w:rFonts w:ascii="Verdana" w:eastAsia="Times New Roman" w:hAnsi="Verdana"/>
      <w:b/>
      <w:i/>
      <w:color w:val="006283"/>
      <w:sz w:val="18"/>
      <w:lang w:val="en-GB"/>
    </w:rPr>
  </w:style>
  <w:style w:type="character" w:customStyle="1" w:styleId="Heading9Char">
    <w:name w:val="Heading 9 Char"/>
    <w:link w:val="Heading9"/>
    <w:uiPriority w:val="2"/>
    <w:rsid w:val="003A3E55"/>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n-GB"/>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n-GB"/>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n-GB"/>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n-GB"/>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n-GB"/>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n-GB"/>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n-GB"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n-GB"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n-GB"/>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n-GB"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n-GB"/>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n-GB"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n-GB"/>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n-GB"/>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n-GB"/>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n-GB"/>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n-GB"/>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n-GB"/>
    </w:rPr>
  </w:style>
  <w:style w:type="character" w:styleId="BookTitle">
    <w:name w:val="Book Title"/>
    <w:uiPriority w:val="99"/>
    <w:semiHidden/>
    <w:qFormat/>
    <w:rsid w:val="003A3E55"/>
    <w:rPr>
      <w:b/>
      <w:bCs/>
      <w:smallCaps/>
      <w:spacing w:val="5"/>
      <w:lang w:val="en-GB"/>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n-GB"/>
    </w:rPr>
  </w:style>
  <w:style w:type="character" w:styleId="CommentReference">
    <w:name w:val="annotation reference"/>
    <w:uiPriority w:val="99"/>
    <w:semiHidden/>
    <w:unhideWhenUsed/>
    <w:rsid w:val="003A3E55"/>
    <w:rPr>
      <w:sz w:val="16"/>
      <w:szCs w:val="16"/>
      <w:lang w:val="en-GB"/>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n-GB"/>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n-GB"/>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n-GB"/>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n-GB"/>
    </w:rPr>
  </w:style>
  <w:style w:type="character" w:styleId="Emphasis">
    <w:name w:val="Emphasis"/>
    <w:uiPriority w:val="99"/>
    <w:semiHidden/>
    <w:qFormat/>
    <w:rsid w:val="003A3E55"/>
    <w:rPr>
      <w:i/>
      <w:iCs/>
      <w:lang w:val="en-GB"/>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n-GB"/>
    </w:rPr>
  </w:style>
  <w:style w:type="character" w:styleId="HTMLAcronym">
    <w:name w:val="HTML Acronym"/>
    <w:uiPriority w:val="99"/>
    <w:semiHidden/>
    <w:unhideWhenUsed/>
    <w:rsid w:val="003A3E55"/>
    <w:rPr>
      <w:lang w:val="en-GB"/>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n-GB"/>
    </w:rPr>
  </w:style>
  <w:style w:type="character" w:styleId="HTMLCite">
    <w:name w:val="HTML Cite"/>
    <w:uiPriority w:val="99"/>
    <w:semiHidden/>
    <w:unhideWhenUsed/>
    <w:rsid w:val="003A3E55"/>
    <w:rPr>
      <w:i/>
      <w:iCs/>
      <w:lang w:val="en-GB"/>
    </w:rPr>
  </w:style>
  <w:style w:type="character" w:styleId="HTMLCode">
    <w:name w:val="HTML Code"/>
    <w:uiPriority w:val="99"/>
    <w:semiHidden/>
    <w:unhideWhenUsed/>
    <w:rsid w:val="003A3E55"/>
    <w:rPr>
      <w:rFonts w:ascii="Consolas" w:hAnsi="Consolas" w:cs="Consolas"/>
      <w:sz w:val="20"/>
      <w:szCs w:val="20"/>
      <w:lang w:val="en-GB"/>
    </w:rPr>
  </w:style>
  <w:style w:type="character" w:styleId="HTMLDefinition">
    <w:name w:val="HTML Definition"/>
    <w:uiPriority w:val="99"/>
    <w:semiHidden/>
    <w:unhideWhenUsed/>
    <w:rsid w:val="003A3E55"/>
    <w:rPr>
      <w:i/>
      <w:iCs/>
      <w:lang w:val="en-GB"/>
    </w:rPr>
  </w:style>
  <w:style w:type="character" w:styleId="HTMLKeyboard">
    <w:name w:val="HTML Keyboard"/>
    <w:uiPriority w:val="99"/>
    <w:semiHidden/>
    <w:unhideWhenUsed/>
    <w:rsid w:val="003A3E55"/>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n-GB"/>
    </w:rPr>
  </w:style>
  <w:style w:type="character" w:styleId="HTMLSample">
    <w:name w:val="HTML Sample"/>
    <w:uiPriority w:val="99"/>
    <w:semiHidden/>
    <w:unhideWhenUsed/>
    <w:rsid w:val="003A3E55"/>
    <w:rPr>
      <w:rFonts w:ascii="Consolas" w:hAnsi="Consolas" w:cs="Consolas"/>
      <w:sz w:val="24"/>
      <w:szCs w:val="24"/>
      <w:lang w:val="en-GB"/>
    </w:rPr>
  </w:style>
  <w:style w:type="character" w:styleId="HTMLTypewriter">
    <w:name w:val="HTML Typewriter"/>
    <w:uiPriority w:val="99"/>
    <w:semiHidden/>
    <w:unhideWhenUsed/>
    <w:rsid w:val="003A3E55"/>
    <w:rPr>
      <w:rFonts w:ascii="Consolas" w:hAnsi="Consolas" w:cs="Consolas"/>
      <w:sz w:val="20"/>
      <w:szCs w:val="20"/>
      <w:lang w:val="en-GB"/>
    </w:rPr>
  </w:style>
  <w:style w:type="character" w:styleId="HTMLVariable">
    <w:name w:val="HTML Variable"/>
    <w:uiPriority w:val="99"/>
    <w:semiHidden/>
    <w:unhideWhenUsed/>
    <w:rsid w:val="003A3E55"/>
    <w:rPr>
      <w:i/>
      <w:iCs/>
      <w:lang w:val="en-GB"/>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n-GB"/>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n-GB"/>
    </w:rPr>
  </w:style>
  <w:style w:type="character" w:styleId="IntenseReference">
    <w:name w:val="Intense Reference"/>
    <w:uiPriority w:val="99"/>
    <w:semiHidden/>
    <w:qFormat/>
    <w:rsid w:val="003A3E55"/>
    <w:rPr>
      <w:b/>
      <w:bCs/>
      <w:smallCaps/>
      <w:color w:val="C0504D"/>
      <w:spacing w:val="5"/>
      <w:u w:val="single"/>
      <w:lang w:val="en-GB"/>
    </w:rPr>
  </w:style>
  <w:style w:type="character" w:styleId="LineNumber">
    <w:name w:val="line number"/>
    <w:uiPriority w:val="99"/>
    <w:semiHidden/>
    <w:unhideWhenUsed/>
    <w:rsid w:val="003A3E55"/>
    <w:rPr>
      <w:lang w:val="en-GB"/>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A3E55"/>
    <w:rPr>
      <w:rFonts w:ascii="Consolas" w:hAnsi="Consolas" w:cs="Consolas"/>
      <w:lang w:val="en-GB"/>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n-GB"/>
    </w:rPr>
  </w:style>
  <w:style w:type="paragraph" w:styleId="NoSpacing">
    <w:name w:val="No Spacing"/>
    <w:uiPriority w:val="1"/>
    <w:semiHidden/>
    <w:qFormat/>
    <w:rsid w:val="003A3E55"/>
    <w:pPr>
      <w:jc w:val="both"/>
    </w:pPr>
    <w:rPr>
      <w:rFonts w:ascii="Verdana" w:hAnsi="Verdana"/>
      <w:sz w:val="18"/>
      <w:szCs w:val="22"/>
      <w:lang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n-GB"/>
    </w:rPr>
  </w:style>
  <w:style w:type="character" w:styleId="PageNumber">
    <w:name w:val="page number"/>
    <w:uiPriority w:val="99"/>
    <w:semiHidden/>
    <w:unhideWhenUsed/>
    <w:rsid w:val="003A3E55"/>
    <w:rPr>
      <w:lang w:val="en-GB"/>
    </w:rPr>
  </w:style>
  <w:style w:type="character" w:styleId="PlaceholderText">
    <w:name w:val="Placeholder Text"/>
    <w:uiPriority w:val="99"/>
    <w:semiHidden/>
    <w:rsid w:val="003A3E55"/>
    <w:rPr>
      <w:color w:val="808080"/>
      <w:lang w:val="en-GB"/>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n-GB"/>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n-GB"/>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n-GB"/>
    </w:rPr>
  </w:style>
  <w:style w:type="character" w:styleId="Strong">
    <w:name w:val="Strong"/>
    <w:uiPriority w:val="99"/>
    <w:semiHidden/>
    <w:qFormat/>
    <w:rsid w:val="003A3E55"/>
    <w:rPr>
      <w:b/>
      <w:bCs/>
      <w:lang w:val="en-GB"/>
    </w:rPr>
  </w:style>
  <w:style w:type="character" w:styleId="SubtleEmphasis">
    <w:name w:val="Subtle Emphasis"/>
    <w:uiPriority w:val="99"/>
    <w:semiHidden/>
    <w:qFormat/>
    <w:rsid w:val="003A3E55"/>
    <w:rPr>
      <w:i/>
      <w:iCs/>
      <w:color w:val="808080"/>
      <w:lang w:val="en-GB"/>
    </w:rPr>
  </w:style>
  <w:style w:type="character" w:styleId="SubtleReference">
    <w:name w:val="Subtle Reference"/>
    <w:uiPriority w:val="99"/>
    <w:semiHidden/>
    <w:qFormat/>
    <w:rsid w:val="003A3E55"/>
    <w:rPr>
      <w:smallCaps/>
      <w:color w:val="C0504D"/>
      <w:u w:val="single"/>
      <w:lang w:val="en-GB"/>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onsultasreglamento@osartec.gob.s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SLV/26_03695_00_e.pdf" TargetMode="External" /><Relationship Id="rId6" Type="http://schemas.openxmlformats.org/officeDocument/2006/relationships/hyperlink" Target="mailto:daci@economia.gob.sv" TargetMode="External" /><Relationship Id="rId7" Type="http://schemas.openxmlformats.org/officeDocument/2006/relationships/hyperlink" Target="mailto:omc_es@economia.gob.sv" TargetMode="External" /><Relationship Id="rId8" Type="http://schemas.openxmlformats.org/officeDocument/2006/relationships/hyperlink" Target="http://www.economia.gob.sv" TargetMode="External" /><Relationship Id="rId9" Type="http://schemas.openxmlformats.org/officeDocument/2006/relationships/hyperlink" Target="https://osartec.gob.s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eccf23fa-461f-43cc-9101-9b8d0c5f210a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CB2EA96-0776-4EA4-B12F-565DC040CCE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470</Words>
  <Characters>2838</Characters>
  <Application>Microsoft Office Word</Application>
  <DocSecurity>0</DocSecurity>
  <Lines>70</Lines>
  <Paragraphs>47</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3</cp:revision>
  <dcterms:created xsi:type="dcterms:W3CDTF">2026-07-15T07:48:00Z</dcterms:created>
  <dcterms:modified xsi:type="dcterms:W3CDTF">2026-07-15T10:48:00Z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eccf23fa-461f-43cc-9101-9b8d0c5f210a</vt:lpwstr>
  </property>
  <property fmtid="{D5CDD505-2E9C-101B-9397-08002B2CF9AE}" pid="4" name="WTOCLASSIFICATION">
    <vt:lpwstr>WTO OFFICIAL</vt:lpwstr>
  </property>
</Properties>
</file>