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D83EAF1" w14:textId="77777777">
      <w:pPr>
        <w:pStyle w:val="Title"/>
      </w:pPr>
      <w:r w:rsidRPr="002F663C">
        <w:t>NOTIFICATION</w:t>
      </w:r>
    </w:p>
    <w:p w:rsidR="002F663C" w:rsidRPr="002F663C" w:rsidP="00DD3DD7" w14:paraId="48D927FF" w14:textId="77777777">
      <w:pPr>
        <w:pStyle w:val="Title3"/>
      </w:pPr>
      <w:r w:rsidRPr="002F663C">
        <w:t>Addendum</w:t>
      </w:r>
    </w:p>
    <w:p w:rsidR="002F663C" w:rsidP="001E2E4A" w14:paraId="4DE032A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2D035841" w14:textId="77777777">
      <w:pPr>
        <w:rPr>
          <w:rFonts w:eastAsia="Calibri" w:cs="Times New Roman"/>
        </w:rPr>
      </w:pPr>
    </w:p>
    <w:p w:rsidR="002F663C" w:rsidRPr="002F663C" w:rsidP="002F663C" w14:paraId="745D8290" w14:textId="77777777">
      <w:pPr>
        <w:jc w:val="center"/>
        <w:rPr>
          <w:rFonts w:eastAsia="Calibri" w:cs="Times New Roman"/>
          <w:b/>
        </w:rPr>
      </w:pPr>
      <w:r w:rsidRPr="002F663C">
        <w:rPr>
          <w:rFonts w:eastAsia="Calibri" w:cs="Times New Roman"/>
          <w:b/>
        </w:rPr>
        <w:t>_______________</w:t>
      </w:r>
    </w:p>
    <w:p w:rsidR="002F663C" w:rsidP="002F663C" w14:paraId="4266BD0F" w14:textId="77777777">
      <w:pPr>
        <w:rPr>
          <w:rFonts w:eastAsia="Calibri" w:cs="Times New Roman"/>
        </w:rPr>
      </w:pPr>
    </w:p>
    <w:p w:rsidR="00C14444" w:rsidRPr="002F663C" w:rsidP="002F663C" w14:paraId="7A6FADE8" w14:textId="77777777">
      <w:pPr>
        <w:rPr>
          <w:rFonts w:eastAsia="Calibri" w:cs="Times New Roman"/>
        </w:rPr>
      </w:pPr>
    </w:p>
    <w:p w:rsidR="002F663C" w:rsidRPr="002F663C" w:rsidP="002F663C" w14:paraId="296F85B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Facilitating Implementation of Next Generation 911 Services (NG911); Improving 911 Reliability</w:t>
      </w:r>
    </w:p>
    <w:p w:rsidR="002F663C" w:rsidRPr="002F663C" w:rsidP="002F663C" w14:paraId="366A38D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CA5B28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4145FA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134BE35" w14:textId="77777777" w:rsidTr="00E9471B">
        <w:tblPrEx>
          <w:tblW w:w="9049" w:type="dxa"/>
          <w:tblLayout w:type="fixed"/>
          <w:tblLook w:val="04A0"/>
        </w:tblPrEx>
        <w:tc>
          <w:tcPr>
            <w:tcW w:w="851" w:type="dxa"/>
          </w:tcPr>
          <w:p w:rsidR="002F663C" w:rsidRPr="00711F9C" w:rsidP="00C14444" w14:paraId="3BBEB55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E40A63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601731C" w14:textId="77777777" w:rsidTr="00E9471B">
        <w:tblPrEx>
          <w:tblW w:w="9049" w:type="dxa"/>
          <w:tblLayout w:type="fixed"/>
          <w:tblLook w:val="04A0"/>
        </w:tblPrEx>
        <w:tc>
          <w:tcPr>
            <w:tcW w:w="851" w:type="dxa"/>
          </w:tcPr>
          <w:p w:rsidR="002F663C" w:rsidRPr="00711F9C" w:rsidP="00C14444" w14:paraId="4F71BC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9503B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6913FFA" w14:textId="77777777" w:rsidTr="00E9471B">
        <w:tblPrEx>
          <w:tblW w:w="9049" w:type="dxa"/>
          <w:tblLayout w:type="fixed"/>
          <w:tblLook w:val="04A0"/>
        </w:tblPrEx>
        <w:tc>
          <w:tcPr>
            <w:tcW w:w="851" w:type="dxa"/>
          </w:tcPr>
          <w:p w:rsidR="002F663C" w:rsidRPr="00711F9C" w:rsidP="00C14444" w14:paraId="30A9F8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3B6CAD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10 July 2026</w:t>
            </w:r>
          </w:p>
        </w:tc>
      </w:tr>
      <w:tr w14:paraId="1EC3A776" w14:textId="77777777" w:rsidTr="00E9471B">
        <w:tblPrEx>
          <w:tblW w:w="9049" w:type="dxa"/>
          <w:tblLayout w:type="fixed"/>
          <w:tblLook w:val="04A0"/>
        </w:tblPrEx>
        <w:tc>
          <w:tcPr>
            <w:tcW w:w="851" w:type="dxa"/>
          </w:tcPr>
          <w:p w:rsidR="002F663C" w:rsidRPr="00711F9C" w:rsidP="00C14444" w14:paraId="5D501C6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55F942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10 August 2026</w:t>
            </w:r>
          </w:p>
        </w:tc>
      </w:tr>
      <w:tr w14:paraId="41FA2B1C" w14:textId="77777777" w:rsidTr="00E9471B">
        <w:tblPrEx>
          <w:tblW w:w="9049" w:type="dxa"/>
          <w:tblLayout w:type="fixed"/>
          <w:tblLook w:val="04A0"/>
        </w:tblPrEx>
        <w:tc>
          <w:tcPr>
            <w:tcW w:w="851" w:type="dxa"/>
          </w:tcPr>
          <w:p w:rsidR="002F663C" w:rsidRPr="00711F9C" w:rsidP="00C14444" w14:paraId="52FC270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E72AE4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094DF78"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https://members.wto.org/crnattachments/2026/TBT/USA/final_measure/26_03672_00_e.pdf</w:t>
              </w:r>
            </w:hyperlink>
          </w:p>
          <w:p w:rsidR="002F663C" w:rsidRPr="002F663C" w:rsidP="00EB7B40" w14:paraId="6A4DB3DE"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https://members.wto.org/crnattachments/2026/TBT/USA/final_measure/26_03672_01_e.pdf</w:t>
              </w:r>
            </w:hyperlink>
          </w:p>
        </w:tc>
      </w:tr>
      <w:tr w14:paraId="327D3C73" w14:textId="77777777" w:rsidTr="00E9471B">
        <w:tblPrEx>
          <w:tblW w:w="9049" w:type="dxa"/>
          <w:tblLayout w:type="fixed"/>
          <w:tblLook w:val="04A0"/>
        </w:tblPrEx>
        <w:tc>
          <w:tcPr>
            <w:tcW w:w="851" w:type="dxa"/>
          </w:tcPr>
          <w:p w:rsidR="002F663C" w:rsidRPr="00711F9C" w:rsidP="00C14444" w14:paraId="35549FD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A85170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ED1678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7087C1D" w14:textId="77777777" w:rsidTr="00E9471B">
        <w:tblPrEx>
          <w:tblW w:w="9049" w:type="dxa"/>
          <w:tblLayout w:type="fixed"/>
          <w:tblLook w:val="04A0"/>
        </w:tblPrEx>
        <w:tc>
          <w:tcPr>
            <w:tcW w:w="851" w:type="dxa"/>
          </w:tcPr>
          <w:p w:rsidR="002F663C" w:rsidRPr="00711F9C" w:rsidP="00C14444" w14:paraId="0984C72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D989B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585548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8967A26" w14:textId="77777777" w:rsidTr="00E9471B">
        <w:tblPrEx>
          <w:tblW w:w="9049" w:type="dxa"/>
          <w:tblLayout w:type="fixed"/>
          <w:tblLook w:val="04A0"/>
        </w:tblPrEx>
        <w:tc>
          <w:tcPr>
            <w:tcW w:w="851" w:type="dxa"/>
          </w:tcPr>
          <w:p w:rsidR="002F663C" w:rsidRPr="00711F9C" w:rsidP="00C14444" w14:paraId="0B8E197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5729A4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E2E3AE0" w14:textId="77777777" w:rsidTr="00E9471B">
        <w:tblPrEx>
          <w:tblW w:w="9049" w:type="dxa"/>
          <w:tblLayout w:type="fixed"/>
          <w:tblLook w:val="04A0"/>
        </w:tblPrEx>
        <w:tc>
          <w:tcPr>
            <w:tcW w:w="851" w:type="dxa"/>
            <w:tcBorders>
              <w:bottom w:val="double" w:sz="4" w:space="0" w:color="auto"/>
            </w:tcBorders>
          </w:tcPr>
          <w:p w:rsidR="002F663C" w:rsidRPr="00711F9C" w:rsidP="00C14444" w14:paraId="3FD8FF8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2CF1A3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E957D5E" w14:textId="77777777">
      <w:pPr>
        <w:jc w:val="left"/>
        <w:rPr>
          <w:rFonts w:eastAsia="Calibri" w:cs="Times New Roman"/>
          <w:highlight w:val="yellow"/>
        </w:rPr>
      </w:pPr>
    </w:p>
    <w:p w:rsidR="003971FF" w:rsidRPr="007F6EA2" w:rsidP="00B16ACF" w14:paraId="37F74F6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Federal Communications Commission (the FCC or Commission) adopts rules to ensure that emerging Next Generation 911 (NG911) networks are reliable and interoperable. NG911 is replacing legacy 911 technology across the country with internet Protocol (IP)-based infrastructure that will support new 911 capabilities, including text, video, and data. However, for NG911 to be fully effective, NG911 networks must be designed to safeguard the reliability of critical components and support the in</w:t>
      </w:r>
      <w:r w:rsidRPr="002F663C">
        <w:rPr>
          <w:rFonts w:eastAsia="Calibri" w:cs="Times New Roman"/>
          <w:szCs w:val="18"/>
        </w:rPr>
        <w:t xml:space="preserve">teroperability needed to seamlessly transfer 911 calls and data from one network to another. The rules require entities essential to delivering emergency calls in the NG911 environment to implement common sense measures to safeguard the reliability of NG911 networks and reduce the risk of 911 outages, and require certain entities to report on their support for NG911 interoperability. The rules also eliminate unnecessary and </w:t>
      </w:r>
      <w:r w:rsidRPr="002F663C">
        <w:rPr>
          <w:rFonts w:eastAsia="Calibri" w:cs="Times New Roman"/>
          <w:szCs w:val="18"/>
        </w:rPr>
        <w:t>burdensome legacy rules to increase flexibility and encourage technical innovation t</w:t>
      </w:r>
      <w:r w:rsidRPr="002F663C">
        <w:rPr>
          <w:rFonts w:eastAsia="Calibri" w:cs="Times New Roman"/>
          <w:szCs w:val="18"/>
        </w:rPr>
        <w:t>o make NG911 services reliable, interoperable, and accessible to all.</w:t>
      </w:r>
    </w:p>
    <w:p w:rsidR="001051A5" w:rsidRPr="002F663C" w:rsidP="00B16ACF" w14:paraId="25ADC423" w14:textId="77777777">
      <w:pPr>
        <w:spacing w:before="120" w:after="120"/>
        <w:rPr>
          <w:rFonts w:eastAsia="Calibri" w:cs="Times New Roman"/>
          <w:szCs w:val="18"/>
        </w:rPr>
      </w:pPr>
      <w:r w:rsidRPr="002F663C">
        <w:rPr>
          <w:rFonts w:eastAsia="Calibri" w:cs="Times New Roman"/>
          <w:szCs w:val="18"/>
        </w:rPr>
        <w:t>Effective date: Effective 10 August 2026.</w:t>
      </w:r>
    </w:p>
    <w:p w:rsidR="001051A5" w:rsidRPr="002F663C" w:rsidP="00B16ACF" w14:paraId="164A4284" w14:textId="77777777">
      <w:pPr>
        <w:spacing w:before="120" w:after="120"/>
        <w:rPr>
          <w:rFonts w:eastAsia="Calibri" w:cs="Times New Roman"/>
          <w:szCs w:val="18"/>
        </w:rPr>
      </w:pPr>
      <w:r w:rsidRPr="002F663C">
        <w:rPr>
          <w:rFonts w:eastAsia="Calibri" w:cs="Times New Roman"/>
          <w:szCs w:val="18"/>
        </w:rPr>
        <w:t>Compliance dates: Compliance will not be required for Sec. Sec. 9.19(c)(1)(i) through (c)(3)(i) and 9.20(a)(1)(i), (a)(2)(i), and (b), until a document is published in the Federal Register announcing compliance dates and revising Sec. Sec. 9.20(a)(1)(i), (a)(2)(i), and (b), and revising or removing Sec. Sec. 9.19(d) and 9.20(h). For entities described in Sec. 9.19(a)(4)(i)(E) through (I), compliance with Sec. 9.19(b) will not be required until a document is published in the Federal Register announcing compl</w:t>
      </w:r>
      <w:r w:rsidRPr="002F663C">
        <w:rPr>
          <w:rFonts w:eastAsia="Calibri" w:cs="Times New Roman"/>
          <w:szCs w:val="18"/>
        </w:rPr>
        <w:t>iance dates and revising or removing Sec. 9.19(d).</w:t>
      </w:r>
    </w:p>
    <w:p w:rsidR="001051A5" w:rsidRPr="002F663C" w:rsidP="00B16ACF" w14:paraId="39E68697" w14:textId="77777777">
      <w:pPr>
        <w:spacing w:before="120" w:after="120"/>
        <w:rPr>
          <w:rFonts w:eastAsia="Calibri" w:cs="Times New Roman"/>
          <w:szCs w:val="18"/>
        </w:rPr>
      </w:pPr>
      <w:r w:rsidRPr="002F663C">
        <w:rPr>
          <w:rFonts w:eastAsia="Calibri" w:cs="Times New Roman"/>
          <w:szCs w:val="18"/>
        </w:rPr>
        <w:t xml:space="preserve">91 Federal Register (FR) 42794, 10 July 2026; </w:t>
      </w:r>
      <w:hyperlink r:id="rId9" w:history="1">
        <w:r w:rsidRPr="002F663C">
          <w:rPr>
            <w:rFonts w:eastAsia="Calibri" w:cs="Times New Roman"/>
            <w:color w:val="0000FF"/>
            <w:szCs w:val="18"/>
            <w:u w:val="single"/>
          </w:rPr>
          <w:t>Title 47 Code of Federal Regulations (CFR) Part 9</w:t>
        </w:r>
      </w:hyperlink>
      <w:r w:rsidRPr="002F663C">
        <w:rPr>
          <w:rFonts w:eastAsia="Calibri" w:cs="Times New Roman"/>
          <w:szCs w:val="18"/>
        </w:rPr>
        <w:t>:</w:t>
      </w:r>
    </w:p>
    <w:p w:rsidR="001051A5" w:rsidRPr="002F663C" w:rsidP="00B16ACF" w14:paraId="5BC61104"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https://www.govinfo.gov/content/pkg/FR-2026-07-10/html/2026-13998.htm</w:t>
        </w:r>
      </w:hyperlink>
    </w:p>
    <w:p w:rsidR="001051A5" w:rsidRPr="002F663C" w:rsidP="00B16ACF" w14:paraId="5887AF34"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https://www.govinfo.gov/content/pkg/FR-2026-07-10/pdf/2026-13998.pdf</w:t>
        </w:r>
      </w:hyperlink>
    </w:p>
    <w:p w:rsidR="001051A5" w:rsidRPr="002F663C" w:rsidP="00B16ACF" w14:paraId="6859352E"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https://docs.fcc.gov/public/attachments/FCC-26-39A1.pdf</w:t>
        </w:r>
      </w:hyperlink>
    </w:p>
    <w:p w:rsidR="001051A5" w:rsidRPr="002F663C" w:rsidP="00B16ACF" w14:paraId="415A1701"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3" w:history="1">
        <w:r w:rsidRPr="002F663C">
          <w:rPr>
            <w:rFonts w:eastAsia="Calibri" w:cs="Times New Roman"/>
            <w:color w:val="0000FF"/>
            <w:szCs w:val="18"/>
            <w:u w:val="single"/>
          </w:rPr>
          <w:t>G/TBT/N/USA/2209/Rev.1</w:t>
        </w:r>
      </w:hyperlink>
      <w:r w:rsidRPr="002F663C">
        <w:rPr>
          <w:rFonts w:eastAsia="Calibri" w:cs="Times New Roman"/>
          <w:szCs w:val="18"/>
        </w:rPr>
        <w:t xml:space="preserve"> are identified by PS Docket Nos. </w:t>
      </w:r>
      <w:hyperlink r:id="rId14" w:history="1">
        <w:r w:rsidRPr="002F663C">
          <w:rPr>
            <w:rFonts w:eastAsia="Calibri" w:cs="Times New Roman"/>
            <w:color w:val="0000FF"/>
            <w:szCs w:val="18"/>
            <w:u w:val="single"/>
          </w:rPr>
          <w:t>21-479</w:t>
        </w:r>
      </w:hyperlink>
      <w:r w:rsidRPr="002F663C">
        <w:rPr>
          <w:rFonts w:eastAsia="Calibri" w:cs="Times New Roman"/>
          <w:szCs w:val="18"/>
        </w:rPr>
        <w:t xml:space="preserve"> and </w:t>
      </w:r>
      <w:hyperlink r:id="rId15" w:history="1">
        <w:r w:rsidRPr="002F663C">
          <w:rPr>
            <w:rFonts w:eastAsia="Calibri" w:cs="Times New Roman"/>
            <w:color w:val="0000FF"/>
            <w:szCs w:val="18"/>
            <w:u w:val="single"/>
          </w:rPr>
          <w:t>13-75</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FCC 26-39</w:t>
        </w:r>
      </w:hyperlink>
      <w:r w:rsidRPr="002F663C">
        <w:rPr>
          <w:rFonts w:eastAsia="Calibri" w:cs="Times New Roman"/>
          <w:szCs w:val="18"/>
        </w:rPr>
        <w:t xml:space="preserve"> and provides access to associated documents. The full text of the proposed rule is available from the Commission's website at </w:t>
      </w:r>
      <w:hyperlink r:id="rId12" w:history="1">
        <w:r w:rsidRPr="002F663C">
          <w:rPr>
            <w:rFonts w:eastAsia="Calibri" w:cs="Times New Roman"/>
            <w:color w:val="0000FF"/>
            <w:szCs w:val="18"/>
            <w:u w:val="single"/>
          </w:rPr>
          <w:t>https://docs.fcc.gov/public/attachments/FCC-26-39A1.pdf</w:t>
        </w:r>
      </w:hyperlink>
      <w:r w:rsidRPr="002F663C">
        <w:rPr>
          <w:rFonts w:eastAsia="Calibri" w:cs="Times New Roman"/>
          <w:szCs w:val="18"/>
        </w:rPr>
        <w:t xml:space="preserve">. Documents are also accessible from the FCC's </w:t>
      </w:r>
      <w:hyperlink r:id="rId17"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w:t>
      </w:r>
    </w:p>
    <w:p w:rsidR="001051A5" w:rsidRPr="002F663C" w:rsidP="00B16ACF" w14:paraId="38314D6B" w14:textId="77777777">
      <w:pPr>
        <w:spacing w:before="120" w:after="120"/>
        <w:rPr>
          <w:rFonts w:eastAsia="Calibri" w:cs="Times New Roman"/>
          <w:szCs w:val="18"/>
        </w:rPr>
      </w:pPr>
      <w:r w:rsidRPr="002F663C">
        <w:rPr>
          <w:rFonts w:eastAsia="Calibri" w:cs="Times New Roman"/>
          <w:szCs w:val="18"/>
        </w:rPr>
        <w:t xml:space="preserve">Comments on the proposed rule are due on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10 August 2026 and reply comments are due on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8 September 2026. WTO Members and their stakeholders are asked to submit comments to the </w:t>
      </w:r>
      <w:hyperlink r:id="rId20"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8 September 2026. Comments received by the USA TBT Enquiry Point from WTO Members and their stakeholders will be shared with FCC and will also be submitted to the FCC's </w:t>
      </w:r>
      <w:hyperlink r:id="rId21" w:history="1">
        <w:r w:rsidRPr="002F663C">
          <w:rPr>
            <w:rFonts w:eastAsia="Calibri" w:cs="Times New Roman"/>
            <w:color w:val="0000FF"/>
            <w:szCs w:val="18"/>
            <w:u w:val="single"/>
          </w:rPr>
          <w:t>Electronic Comment Filing System (ECFS)</w:t>
        </w:r>
      </w:hyperlink>
      <w:r w:rsidRPr="002F663C">
        <w:rPr>
          <w:rFonts w:eastAsia="Calibri" w:cs="Times New Roman"/>
          <w:szCs w:val="18"/>
        </w:rPr>
        <w:t xml:space="preserve"> if received within the comment period.</w:t>
      </w:r>
    </w:p>
    <w:p w:rsidR="001051A5" w:rsidRPr="002F663C" w:rsidP="00B16ACF" w14:paraId="5673C35B" w14:textId="77777777">
      <w:pPr>
        <w:spacing w:before="120" w:after="120"/>
        <w:rPr>
          <w:rFonts w:eastAsia="Calibri" w:cs="Times New Roman"/>
          <w:szCs w:val="18"/>
        </w:rPr>
      </w:pPr>
      <w:r w:rsidRPr="002F663C">
        <w:rPr>
          <w:rFonts w:eastAsia="Calibri" w:cs="Times New Roman"/>
          <w:szCs w:val="18"/>
        </w:rPr>
        <w:t>FCC Modernizes Next Generation 911 Reliability and Interoperability:</w:t>
      </w:r>
    </w:p>
    <w:p w:rsidR="001051A5" w:rsidRPr="002F663C" w:rsidP="00B16ACF" w14:paraId="321A70D2" w14:textId="77777777">
      <w:pPr>
        <w:spacing w:before="120" w:after="120"/>
        <w:rPr>
          <w:rFonts w:eastAsia="Calibri" w:cs="Times New Roman"/>
          <w:szCs w:val="18"/>
        </w:rPr>
      </w:pPr>
      <w:hyperlink r:id="rId22" w:history="1">
        <w:r w:rsidRPr="002F663C">
          <w:rPr>
            <w:rFonts w:eastAsia="Calibri" w:cs="Times New Roman"/>
            <w:color w:val="0000FF"/>
            <w:szCs w:val="18"/>
            <w:u w:val="single"/>
          </w:rPr>
          <w:t>https://www.fcc.gov/document/fcc-modernizes-next-generation-911-reliability-and-interoperability-0</w:t>
        </w:r>
      </w:hyperlink>
    </w:p>
    <w:p w:rsidR="006C5A96" w:rsidP="006C5A96" w14:paraId="3B66FE4F" w14:textId="77777777">
      <w:pPr>
        <w:jc w:val="center"/>
        <w:rPr>
          <w:b/>
        </w:rPr>
      </w:pPr>
      <w:r w:rsidRPr="003971FF">
        <w:rPr>
          <w:b/>
        </w:rPr>
        <w:t>__________</w:t>
      </w:r>
    </w:p>
    <w:p w:rsidR="004D4D19" w:rsidP="007F38C2" w14:paraId="7936E441" w14:textId="77777777">
      <w:pPr>
        <w:jc w:val="center"/>
        <w:rPr>
          <w:b/>
        </w:rPr>
      </w:pPr>
    </w:p>
    <w:p w:rsidR="00A1565D" w:rsidP="003971FF" w14:paraId="49DF7D5C" w14:textId="77777777">
      <w:pPr>
        <w:jc w:val="center"/>
        <w:rPr>
          <w:b/>
        </w:rPr>
      </w:pPr>
    </w:p>
    <w:sectPr w:rsidSect="006C5A96">
      <w:headerReference w:type="even" r:id="rId23"/>
      <w:headerReference w:type="default" r:id="rId24"/>
      <w:footerReference w:type="even" r:id="rId25"/>
      <w:footerReference w:type="default" r:id="rId26"/>
      <w:headerReference w:type="first" r:id="rId2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A3BBB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96F1FD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519A" w:rsidP="00ED54E0" w14:paraId="3576FBEA" w14:textId="77777777">
      <w:r>
        <w:separator/>
      </w:r>
    </w:p>
  </w:footnote>
  <w:footnote w:type="continuationSeparator" w:id="1">
    <w:p w:rsidR="00E0519A" w:rsidP="00ED54E0" w14:paraId="2C2B8C9D" w14:textId="77777777">
      <w:r>
        <w:continuationSeparator/>
      </w:r>
    </w:p>
  </w:footnote>
  <w:footnote w:id="2">
    <w:p w:rsidR="007F6EA2" w14:paraId="6BF0C88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C65CB3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832C2B2" w14:textId="77777777">
    <w:pPr>
      <w:pStyle w:val="Header"/>
      <w:pBdr>
        <w:bottom w:val="single" w:sz="4" w:space="1" w:color="auto"/>
      </w:pBdr>
      <w:tabs>
        <w:tab w:val="clear" w:pos="4513"/>
        <w:tab w:val="clear" w:pos="9027"/>
      </w:tabs>
      <w:jc w:val="center"/>
    </w:pPr>
  </w:p>
  <w:p w:rsidR="00DD3DD7" w:rsidRPr="00DD3DD7" w:rsidP="00DD3DD7" w14:paraId="5E63F0D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1B619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38B8BBF" w14:textId="77777777">
    <w:pPr>
      <w:pStyle w:val="Header"/>
      <w:pBdr>
        <w:bottom w:val="single" w:sz="4" w:space="1" w:color="auto"/>
      </w:pBdr>
      <w:tabs>
        <w:tab w:val="clear" w:pos="4513"/>
        <w:tab w:val="clear" w:pos="9027"/>
      </w:tabs>
      <w:jc w:val="center"/>
    </w:pPr>
    <w:bookmarkStart w:id="3" w:name="spsSymbolHeader"/>
    <w:r w:rsidRPr="00DD3DD7">
      <w:t>G/TBT/N/USA/2209/Rev.1/Add.1</w:t>
    </w:r>
    <w:bookmarkEnd w:id="3"/>
  </w:p>
  <w:p w:rsidR="00DD3DD7" w:rsidRPr="00DD3DD7" w:rsidP="00DD3DD7" w14:paraId="6B7CCAE4" w14:textId="77777777">
    <w:pPr>
      <w:pStyle w:val="Header"/>
      <w:pBdr>
        <w:bottom w:val="single" w:sz="4" w:space="1" w:color="auto"/>
      </w:pBdr>
      <w:tabs>
        <w:tab w:val="clear" w:pos="4513"/>
        <w:tab w:val="clear" w:pos="9027"/>
      </w:tabs>
      <w:jc w:val="center"/>
    </w:pPr>
  </w:p>
  <w:p w:rsidR="00DD3DD7" w:rsidRPr="00DD3DD7" w:rsidP="00DD3DD7" w14:paraId="2D8088F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71404A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919DA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480A28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5E7CC33" w14:textId="77777777">
          <w:pPr>
            <w:jc w:val="right"/>
            <w:rPr>
              <w:b/>
              <w:color w:val="FF0000"/>
              <w:szCs w:val="16"/>
            </w:rPr>
          </w:pPr>
          <w:r>
            <w:rPr>
              <w:b/>
              <w:color w:val="FF0000"/>
              <w:szCs w:val="16"/>
            </w:rPr>
            <w:t xml:space="preserve"> </w:t>
          </w:r>
        </w:p>
      </w:tc>
    </w:tr>
    <w:tr w14:paraId="4BB3853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558E43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E3894DC" w14:textId="77777777">
          <w:pPr>
            <w:jc w:val="right"/>
            <w:rPr>
              <w:b/>
              <w:szCs w:val="16"/>
            </w:rPr>
          </w:pPr>
        </w:p>
      </w:tc>
    </w:tr>
    <w:tr w14:paraId="58391B5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109E81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419B025" w14:textId="77777777">
          <w:pPr>
            <w:jc w:val="right"/>
            <w:rPr>
              <w:rFonts w:eastAsia="Calibri" w:cs="Times New Roman"/>
              <w:b/>
              <w:szCs w:val="16"/>
            </w:rPr>
          </w:pPr>
          <w:bookmarkStart w:id="4" w:name="bmkSymbols"/>
          <w:r w:rsidRPr="002F663C">
            <w:rPr>
              <w:rFonts w:eastAsia="Calibri" w:cs="Times New Roman"/>
              <w:b/>
              <w:szCs w:val="16"/>
            </w:rPr>
            <w:t>G/TBT/N/USA/2209/Rev.1/Add.1</w:t>
          </w:r>
          <w:bookmarkEnd w:id="4"/>
        </w:p>
        <w:p w:rsidR="00C14444" w:rsidRPr="00C14444" w:rsidP="00C14444" w14:paraId="58874399" w14:textId="77777777">
          <w:pPr>
            <w:jc w:val="center"/>
            <w:rPr>
              <w:szCs w:val="16"/>
            </w:rPr>
          </w:pPr>
        </w:p>
      </w:tc>
    </w:tr>
    <w:tr w14:paraId="4ADA5B6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1DB0C36" w14:textId="77777777"/>
      </w:tc>
      <w:tc>
        <w:tcPr>
          <w:tcW w:w="5448" w:type="dxa"/>
          <w:gridSpan w:val="2"/>
          <w:shd w:val="clear" w:color="auto" w:fill="FFFFFF"/>
          <w:tcMar>
            <w:left w:w="108" w:type="dxa"/>
            <w:right w:w="108" w:type="dxa"/>
          </w:tcMar>
          <w:vAlign w:val="center"/>
        </w:tcPr>
        <w:p w:rsidR="00ED54E0" w:rsidRPr="00182B84" w:rsidP="00425DC5" w14:paraId="6B703627" w14:textId="77777777">
          <w:pPr>
            <w:jc w:val="right"/>
            <w:rPr>
              <w:szCs w:val="16"/>
            </w:rPr>
          </w:pPr>
          <w:bookmarkStart w:id="5" w:name="bmkDate"/>
          <w:r w:rsidRPr="00182B84">
            <w:rPr>
              <w:szCs w:val="16"/>
            </w:rPr>
            <w:t>14 July 2026</w:t>
          </w:r>
          <w:bookmarkEnd w:id="5"/>
        </w:p>
      </w:tc>
    </w:tr>
    <w:tr w14:paraId="482E645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5F11AD1" w14:textId="77777777">
          <w:pPr>
            <w:jc w:val="left"/>
            <w:rPr>
              <w:b/>
            </w:rPr>
          </w:pPr>
          <w:bookmarkStart w:id="6" w:name="bmkSerial"/>
          <w:r>
            <w:rPr>
              <w:rFonts w:ascii="Verdana" w:eastAsia="Verdana" w:hAnsi="Verdana" w:cs="Verdana"/>
              <w:b w:val="0"/>
              <w:color w:val="FF0000"/>
              <w:sz w:val="18"/>
            </w:rPr>
            <w:t>(26-5057)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D9E97B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02F3CB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6CC9EB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2F0EFE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F3918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027461">
    <w:abstractNumId w:val="9"/>
  </w:num>
  <w:num w:numId="2" w16cid:durableId="1874464924">
    <w:abstractNumId w:val="7"/>
  </w:num>
  <w:num w:numId="3" w16cid:durableId="376390962">
    <w:abstractNumId w:val="6"/>
  </w:num>
  <w:num w:numId="4" w16cid:durableId="882906444">
    <w:abstractNumId w:val="5"/>
  </w:num>
  <w:num w:numId="5" w16cid:durableId="1613124218">
    <w:abstractNumId w:val="4"/>
  </w:num>
  <w:num w:numId="6" w16cid:durableId="859272246">
    <w:abstractNumId w:val="12"/>
  </w:num>
  <w:num w:numId="7" w16cid:durableId="1650330974">
    <w:abstractNumId w:val="11"/>
  </w:num>
  <w:num w:numId="8" w16cid:durableId="687830296">
    <w:abstractNumId w:val="10"/>
  </w:num>
  <w:num w:numId="9" w16cid:durableId="18894874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0097411">
    <w:abstractNumId w:val="13"/>
  </w:num>
  <w:num w:numId="11" w16cid:durableId="1250844987">
    <w:abstractNumId w:val="8"/>
  </w:num>
  <w:num w:numId="12" w16cid:durableId="631906689">
    <w:abstractNumId w:val="3"/>
  </w:num>
  <w:num w:numId="13" w16cid:durableId="1486161230">
    <w:abstractNumId w:val="2"/>
  </w:num>
  <w:num w:numId="14" w16cid:durableId="1876113487">
    <w:abstractNumId w:val="1"/>
  </w:num>
  <w:num w:numId="15" w16cid:durableId="72749955">
    <w:abstractNumId w:val="0"/>
  </w:num>
  <w:num w:numId="16" w16cid:durableId="61390641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051A5"/>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0482"/>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94E7D"/>
    <w:rsid w:val="006B3175"/>
    <w:rsid w:val="006C5A96"/>
    <w:rsid w:val="006E7D82"/>
    <w:rsid w:val="006F0307"/>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60C7A"/>
    <w:rsid w:val="00992AEA"/>
    <w:rsid w:val="009A4D36"/>
    <w:rsid w:val="009A6F54"/>
    <w:rsid w:val="009B7287"/>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519A"/>
    <w:rsid w:val="00E0707F"/>
    <w:rsid w:val="00E1426C"/>
    <w:rsid w:val="00E465D2"/>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991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7-10/html/2026-13998.htm" TargetMode="External" /><Relationship Id="rId11" Type="http://schemas.openxmlformats.org/officeDocument/2006/relationships/hyperlink" Target="https://www.govinfo.gov/content/pkg/FR-2026-07-10/pdf/2026-13998.pdf" TargetMode="External" /><Relationship Id="rId12" Type="http://schemas.openxmlformats.org/officeDocument/2006/relationships/hyperlink" Target="https://docs.fcc.gov/public/attachments/FCC-26-39A1.pdf" TargetMode="External" /><Relationship Id="rId13" Type="http://schemas.openxmlformats.org/officeDocument/2006/relationships/hyperlink" Target="https://eping.wto.org/en/Search?viewData=G/TBT/N/USA/2209/Rev.1" TargetMode="External" /><Relationship Id="rId14" Type="http://schemas.openxmlformats.org/officeDocument/2006/relationships/hyperlink" Target="https://www.fcc.gov/edocs/search-results?t=quick&amp;dockets=21-479" TargetMode="External" /><Relationship Id="rId15" Type="http://schemas.openxmlformats.org/officeDocument/2006/relationships/hyperlink" Target="https://www.fcc.gov/edocs/search-results?t=quick&amp;dockets=13-75" TargetMode="External" /><Relationship Id="rId16" Type="http://schemas.openxmlformats.org/officeDocument/2006/relationships/hyperlink" Target="https://www.fcc.gov/edocs/search-results?t=quick&amp;fccdaNo=26-39" TargetMode="External" /><Relationship Id="rId17" Type="http://schemas.openxmlformats.org/officeDocument/2006/relationships/hyperlink" Target="https://www.fcc.gov/edocs"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yperlink" Target="mailto:usatbtep@nist.gov" TargetMode="External" /><Relationship Id="rId21" Type="http://schemas.openxmlformats.org/officeDocument/2006/relationships/hyperlink" Target="https://www.fcc.gov/ecfs/filings/standard" TargetMode="External" /><Relationship Id="rId22" Type="http://schemas.openxmlformats.org/officeDocument/2006/relationships/hyperlink" Target="https://www.fcc.gov/document/fcc-modernizes-next-generation-911-reliability-and-interoperability-0"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672_00_e.pdf" TargetMode="External" /><Relationship Id="rId8" Type="http://schemas.openxmlformats.org/officeDocument/2006/relationships/hyperlink" Target="https://members.wto.org/crnattachments/2026/TBT/USA/final_measure/26_03672_01_e.pdf" TargetMode="External" /><Relationship Id="rId9" Type="http://schemas.openxmlformats.org/officeDocument/2006/relationships/hyperlink" Target="https://www.ecfr.gov/current/title-47/chapter-I/subchapter-A/part-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69EAB-E2D0-4FC3-9690-780D95724BF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2026-07-14T12:15:00Z</dcterms:created>
  <dcterms:modified xsi:type="dcterms:W3CDTF">2026-07-14T12:16:00Z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