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1EF9D3" w14:textId="77777777">
      <w:pPr>
        <w:pStyle w:val="Title"/>
        <w:rPr>
          <w:caps w:val="0"/>
          <w:kern w:val="0"/>
        </w:rPr>
      </w:pPr>
      <w:r w:rsidRPr="002F6A28">
        <w:rPr>
          <w:caps w:val="0"/>
          <w:kern w:val="0"/>
        </w:rPr>
        <w:t>NOTIFICATION</w:t>
      </w:r>
    </w:p>
    <w:p w:rsidR="009239F7" w:rsidRPr="002F6A28" w:rsidP="002F6A28" w14:paraId="4E62F79B" w14:textId="77777777">
      <w:pPr>
        <w:jc w:val="center"/>
      </w:pPr>
      <w:r w:rsidRPr="002F6A28">
        <w:t>The following notification is being circulated in accordance with Article 10.6</w:t>
      </w:r>
    </w:p>
    <w:p w:rsidR="009239F7" w:rsidRPr="002F6A28" w:rsidP="002F6A28" w14:paraId="45C1DAF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CEBA306" w14:textId="77777777" w:rsidTr="00DB13FE">
        <w:tblPrEx>
          <w:tblW w:w="5000" w:type="pct"/>
          <w:tblLayout w:type="fixed"/>
          <w:tblLook w:val="0000"/>
        </w:tblPrEx>
        <w:tc>
          <w:tcPr>
            <w:tcW w:w="607" w:type="dxa"/>
            <w:tcBorders>
              <w:top w:val="double" w:sz="4" w:space="0" w:color="auto"/>
            </w:tcBorders>
          </w:tcPr>
          <w:p w:rsidR="00F85C99" w:rsidRPr="002F6A28" w:rsidP="002F6A28" w14:paraId="38FAE20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BBE9A70"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2A37776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41EF60" w14:textId="77777777" w:rsidTr="00DB13FE">
        <w:tblPrEx>
          <w:tblW w:w="5000" w:type="pct"/>
          <w:tblLayout w:type="fixed"/>
          <w:tblLook w:val="0000"/>
        </w:tblPrEx>
        <w:tc>
          <w:tcPr>
            <w:tcW w:w="607" w:type="dxa"/>
          </w:tcPr>
          <w:p w:rsidR="00F85C99" w:rsidRPr="002F6A28" w:rsidP="002F6A28" w14:paraId="66D9EE66" w14:textId="77777777">
            <w:pPr>
              <w:spacing w:before="120" w:after="120"/>
              <w:jc w:val="left"/>
            </w:pPr>
            <w:r w:rsidRPr="002F6A28">
              <w:rPr>
                <w:b/>
              </w:rPr>
              <w:t>2.</w:t>
            </w:r>
          </w:p>
        </w:tc>
        <w:tc>
          <w:tcPr>
            <w:tcW w:w="8373" w:type="dxa"/>
          </w:tcPr>
          <w:p w:rsidR="00F85C99" w:rsidRPr="002F6A28" w:rsidP="000C3B6C" w14:paraId="519BBB5C" w14:textId="77777777">
            <w:pPr>
              <w:spacing w:before="120" w:after="120"/>
            </w:pPr>
            <w:r w:rsidRPr="002F6A28">
              <w:rPr>
                <w:b/>
              </w:rPr>
              <w:t>Agency responsible:</w:t>
            </w:r>
            <w:r w:rsidRPr="00C379C8" w:rsidR="00EE3A11">
              <w:t xml:space="preserve"> </w:t>
            </w:r>
          </w:p>
          <w:p w:rsidR="00EE3A11" w:rsidRPr="00C379C8" w:rsidP="000C3B6C" w14:paraId="5E6F9F5F" w14:textId="77777777">
            <w:pPr>
              <w:spacing w:after="120"/>
            </w:pPr>
            <w:r w:rsidRPr="00C379C8">
              <w:t>Canadian Food Inspection Agency (CFIA)</w:t>
            </w:r>
          </w:p>
        </w:tc>
      </w:tr>
      <w:tr w14:paraId="5716E5F8" w14:textId="77777777" w:rsidTr="00DB13FE">
        <w:tblPrEx>
          <w:tblW w:w="5000" w:type="pct"/>
          <w:tblLayout w:type="fixed"/>
          <w:tblLook w:val="0000"/>
        </w:tblPrEx>
        <w:tc>
          <w:tcPr>
            <w:tcW w:w="607" w:type="dxa"/>
          </w:tcPr>
          <w:p w:rsidR="00F85C99" w:rsidRPr="002F6A28" w:rsidP="002F6A28" w14:paraId="2B893D59" w14:textId="77777777">
            <w:pPr>
              <w:spacing w:before="120" w:after="120"/>
              <w:jc w:val="left"/>
              <w:rPr>
                <w:b/>
              </w:rPr>
            </w:pPr>
            <w:r w:rsidRPr="002F6A28">
              <w:rPr>
                <w:b/>
              </w:rPr>
              <w:t>3.</w:t>
            </w:r>
          </w:p>
        </w:tc>
        <w:tc>
          <w:tcPr>
            <w:tcW w:w="8373" w:type="dxa"/>
          </w:tcPr>
          <w:p w:rsidR="00F85C99" w:rsidRPr="0058336F" w:rsidP="002F6A28" w14:paraId="4B03426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3710F72" w14:textId="77777777" w:rsidTr="00DB13FE">
        <w:tblPrEx>
          <w:tblW w:w="5000" w:type="pct"/>
          <w:tblLayout w:type="fixed"/>
          <w:tblLook w:val="0000"/>
        </w:tblPrEx>
        <w:tc>
          <w:tcPr>
            <w:tcW w:w="607" w:type="dxa"/>
          </w:tcPr>
          <w:p w:rsidR="00F85C99" w:rsidRPr="002F6A28" w:rsidP="002F6A28" w14:paraId="24814DA9" w14:textId="77777777">
            <w:pPr>
              <w:spacing w:before="120" w:after="120"/>
              <w:jc w:val="left"/>
            </w:pPr>
            <w:r w:rsidRPr="002F6A28">
              <w:rPr>
                <w:b/>
              </w:rPr>
              <w:t>4.</w:t>
            </w:r>
          </w:p>
        </w:tc>
        <w:tc>
          <w:tcPr>
            <w:tcW w:w="8373" w:type="dxa"/>
          </w:tcPr>
          <w:p w:rsidR="00F85C99" w:rsidRPr="002F6A28" w:rsidP="002F6A28" w14:paraId="0F8D1BD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Non-Ruminants Feed, Pet Food and Fertilizer</w:t>
            </w:r>
          </w:p>
        </w:tc>
      </w:tr>
      <w:tr w14:paraId="38942EA3" w14:textId="77777777" w:rsidTr="00DB13FE">
        <w:tblPrEx>
          <w:tblW w:w="5000" w:type="pct"/>
          <w:tblLayout w:type="fixed"/>
          <w:tblLook w:val="0000"/>
        </w:tblPrEx>
        <w:tc>
          <w:tcPr>
            <w:tcW w:w="607" w:type="dxa"/>
          </w:tcPr>
          <w:p w:rsidR="00F85C99" w:rsidRPr="002F6A28" w:rsidP="002F6A28" w14:paraId="136A5F2F" w14:textId="77777777">
            <w:pPr>
              <w:spacing w:before="120" w:after="120"/>
              <w:jc w:val="left"/>
            </w:pPr>
            <w:r w:rsidRPr="002F6A28">
              <w:rPr>
                <w:b/>
              </w:rPr>
              <w:t>5.</w:t>
            </w:r>
          </w:p>
        </w:tc>
        <w:tc>
          <w:tcPr>
            <w:tcW w:w="8373" w:type="dxa"/>
          </w:tcPr>
          <w:p w:rsidR="00F85C99" w:rsidP="002F6A28" w14:paraId="72D24E9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Regulations Amending Certain Regulations Relating to Harmonization of the Enhanced Feed Ban (Available in English and French, 36 and 41 pages)</w:t>
            </w:r>
          </w:p>
          <w:p w:rsidR="000C3B6C" w:rsidRPr="000C3B6C" w:rsidP="002F6A28" w14:paraId="091DB96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75D61" w:rsidRPr="00CE6C29" w:rsidP="002F6A28" w14:paraId="545E168E" w14:textId="77777777">
            <w:pPr>
              <w:spacing w:after="120"/>
              <w:rPr>
                <w:iCs/>
              </w:rPr>
            </w:pPr>
            <w:hyperlink r:id="rId6" w:tgtFrame="_blank" w:history="1">
              <w:r w:rsidRPr="00CE6C29">
                <w:rPr>
                  <w:iCs/>
                  <w:color w:val="0000FF"/>
                  <w:u w:val="single"/>
                </w:rPr>
                <w:t>https://gazette.gc.ca/rp-pr/p1/2026/2026-07-11/html/reg1-eng.html</w:t>
              </w:r>
            </w:hyperlink>
          </w:p>
        </w:tc>
      </w:tr>
      <w:tr w14:paraId="54E8093E" w14:textId="77777777" w:rsidTr="00DB13FE">
        <w:tblPrEx>
          <w:tblW w:w="5000" w:type="pct"/>
          <w:tblLayout w:type="fixed"/>
          <w:tblLook w:val="0000"/>
        </w:tblPrEx>
        <w:tc>
          <w:tcPr>
            <w:tcW w:w="607" w:type="dxa"/>
          </w:tcPr>
          <w:p w:rsidR="00F85C99" w:rsidRPr="002F6A28" w:rsidP="002F6A28" w14:paraId="27CDF005" w14:textId="77777777">
            <w:pPr>
              <w:spacing w:before="120" w:after="120"/>
              <w:jc w:val="left"/>
              <w:rPr>
                <w:b/>
              </w:rPr>
            </w:pPr>
            <w:r w:rsidRPr="002F6A28">
              <w:rPr>
                <w:b/>
              </w:rPr>
              <w:t>6.</w:t>
            </w:r>
          </w:p>
        </w:tc>
        <w:tc>
          <w:tcPr>
            <w:tcW w:w="8373" w:type="dxa"/>
          </w:tcPr>
          <w:p w:rsidR="00F85C99" w:rsidRPr="002F6A28" w:rsidP="002F6A28" w14:paraId="227DAA43" w14:textId="77777777">
            <w:pPr>
              <w:spacing w:before="120" w:after="120"/>
              <w:rPr>
                <w:b/>
              </w:rPr>
            </w:pPr>
            <w:r w:rsidRPr="002F6A28">
              <w:rPr>
                <w:b/>
              </w:rPr>
              <w:t>Description of content:</w:t>
            </w:r>
            <w:r w:rsidRPr="00C379C8" w:rsidR="00FE448B">
              <w:t xml:space="preserve"> The Canadian Food Inspection Agency (CFIA) is proposing amendments to various regulations to introduce targeted flexibility to Canada's enhanced feed ban (EFB). Canada's EFB regulations were developed almost 20 years ago and do not reflect the current epidemiological situation and the country's negligible bovine spongiform encephalopathy (BSE) risk status, as recognized by the World Organisation for Animal Health (WOAH) since 2021.</w:t>
            </w:r>
          </w:p>
          <w:p w:rsidR="00FE448B" w:rsidRPr="00C379C8" w:rsidP="002F6A28" w14:paraId="49F999E4" w14:textId="77777777">
            <w:pPr>
              <w:spacing w:before="120" w:after="120"/>
            </w:pPr>
            <w:r w:rsidRPr="00C379C8">
              <w:t>The proposed amendments would allow a subset of lower risk specified risk material (SRM) defined as eligible specified risk material (ESRM) for use in non-ruminant livestock feed, fertilizer, and pet food under defined conditions. All SRM would continue to be prohibited in food and ruminant feed to ensure the safety and integrity of Canada's food supply.</w:t>
            </w:r>
          </w:p>
          <w:p w:rsidR="00FE448B" w:rsidRPr="00C379C8" w:rsidP="002F6A28" w14:paraId="07919999" w14:textId="77777777">
            <w:pPr>
              <w:spacing w:before="120" w:after="120"/>
            </w:pPr>
            <w:r w:rsidRPr="00C379C8">
              <w:t>Updated scientific assessments indicate that allowing ESRM in non-ruminant feed, fertilizer, and pet food does not increase risks to human or animal health when existing safeguards remain in place.</w:t>
            </w:r>
          </w:p>
          <w:p w:rsidR="00FE448B" w:rsidRPr="00C379C8" w:rsidP="002F6A28" w14:paraId="77BE26EB" w14:textId="77777777">
            <w:pPr>
              <w:spacing w:before="120" w:after="120"/>
            </w:pPr>
            <w:r w:rsidRPr="00C379C8">
              <w:t xml:space="preserve">To enable these changes, the proposal seeks to amend the </w:t>
            </w:r>
            <w:r w:rsidRPr="00C379C8">
              <w:rPr>
                <w:i/>
                <w:iCs/>
              </w:rPr>
              <w:t xml:space="preserve">Health of Animals Regulations, </w:t>
            </w:r>
            <w:r w:rsidRPr="00C379C8">
              <w:t>the</w:t>
            </w:r>
            <w:r w:rsidRPr="00C379C8">
              <w:rPr>
                <w:i/>
                <w:iCs/>
              </w:rPr>
              <w:t xml:space="preserve"> Fertilizers Regulations </w:t>
            </w:r>
            <w:r w:rsidRPr="00C379C8">
              <w:t>and the</w:t>
            </w:r>
            <w:r w:rsidRPr="00C379C8">
              <w:rPr>
                <w:i/>
                <w:iCs/>
              </w:rPr>
              <w:t xml:space="preserve"> Feeds Regulations, 2024. </w:t>
            </w:r>
            <w:r w:rsidRPr="00C379C8">
              <w:t xml:space="preserve">Additional amendments to the </w:t>
            </w:r>
            <w:r w:rsidRPr="00C379C8">
              <w:rPr>
                <w:i/>
                <w:iCs/>
              </w:rPr>
              <w:t xml:space="preserve">Safe Food for Canadians Regulations (SFCR) and the Food and Drug Regulations </w:t>
            </w:r>
            <w:r w:rsidRPr="00C379C8">
              <w:t>(FDR) are also proposed as part of the measures to ensure consistency and clarity across regulatory frameworks.</w:t>
            </w:r>
          </w:p>
        </w:tc>
      </w:tr>
      <w:tr w14:paraId="60D48968" w14:textId="77777777" w:rsidTr="00DB13FE">
        <w:tblPrEx>
          <w:tblW w:w="5000" w:type="pct"/>
          <w:tblLayout w:type="fixed"/>
          <w:tblLook w:val="0000"/>
        </w:tblPrEx>
        <w:tc>
          <w:tcPr>
            <w:tcW w:w="607" w:type="dxa"/>
          </w:tcPr>
          <w:p w:rsidR="00F85C99" w:rsidRPr="002F6A28" w:rsidP="002F6A28" w14:paraId="64B783BC" w14:textId="77777777">
            <w:pPr>
              <w:spacing w:before="120" w:after="120"/>
              <w:jc w:val="left"/>
              <w:rPr>
                <w:b/>
              </w:rPr>
            </w:pPr>
            <w:r w:rsidRPr="002F6A28">
              <w:rPr>
                <w:b/>
              </w:rPr>
              <w:t>7.</w:t>
            </w:r>
          </w:p>
        </w:tc>
        <w:tc>
          <w:tcPr>
            <w:tcW w:w="8373" w:type="dxa"/>
          </w:tcPr>
          <w:p w:rsidR="00F85C99" w:rsidRPr="002F6A28" w:rsidP="002F6A28" w14:paraId="6F45B8EF" w14:textId="77777777">
            <w:pPr>
              <w:spacing w:before="120" w:after="120"/>
              <w:rPr>
                <w:b/>
              </w:rPr>
            </w:pPr>
            <w:r w:rsidRPr="002F6A28">
              <w:rPr>
                <w:b/>
              </w:rPr>
              <w:t>Objective and rationale, including the nature of urgent problems where applicable:</w:t>
            </w:r>
            <w:r w:rsidRPr="00C379C8" w:rsidR="00EE3A11">
              <w:t xml:space="preserve"> The amendments would align the EFB with the current epidemiological context, Canada's negligible BSE risk status while reducing red tape and regulatory burden.</w:t>
            </w:r>
          </w:p>
        </w:tc>
      </w:tr>
      <w:tr w14:paraId="207D68E7" w14:textId="77777777" w:rsidTr="00DB13FE">
        <w:tblPrEx>
          <w:tblW w:w="5000" w:type="pct"/>
          <w:tblLayout w:type="fixed"/>
          <w:tblLook w:val="0000"/>
        </w:tblPrEx>
        <w:tc>
          <w:tcPr>
            <w:tcW w:w="607" w:type="dxa"/>
          </w:tcPr>
          <w:p w:rsidR="00F85C99" w:rsidRPr="002F6A28" w:rsidP="009E75ED" w14:paraId="54A839DD" w14:textId="77777777">
            <w:pPr>
              <w:spacing w:before="120" w:after="120"/>
              <w:jc w:val="left"/>
              <w:rPr>
                <w:b/>
              </w:rPr>
            </w:pPr>
            <w:r w:rsidRPr="002F6A28">
              <w:rPr>
                <w:b/>
              </w:rPr>
              <w:t>8.</w:t>
            </w:r>
          </w:p>
        </w:tc>
        <w:tc>
          <w:tcPr>
            <w:tcW w:w="8373" w:type="dxa"/>
          </w:tcPr>
          <w:p w:rsidR="000C3B6C" w:rsidRPr="00EC00D2" w:rsidP="007F13E8" w14:paraId="54C0C061" w14:textId="77777777">
            <w:pPr>
              <w:spacing w:before="120" w:after="120"/>
              <w:rPr>
                <w:bCs/>
              </w:rPr>
            </w:pPr>
            <w:r w:rsidRPr="002F6A28">
              <w:rPr>
                <w:b/>
              </w:rPr>
              <w:t>Relevant documents:</w:t>
            </w:r>
            <w:r w:rsidRPr="002F6A28" w:rsidR="00EE3A11">
              <w:t xml:space="preserve"> </w:t>
            </w:r>
          </w:p>
          <w:p w:rsidR="00EE3A11" w:rsidRPr="002F6A28" w:rsidP="007F13E8" w14:paraId="01A13510" w14:textId="77777777">
            <w:pPr>
              <w:spacing w:before="120" w:after="120"/>
            </w:pPr>
            <w:r w:rsidRPr="002F6A28">
              <w:rPr>
                <w:i/>
                <w:iCs/>
              </w:rPr>
              <w:t>Health of Animals Regulations (</w:t>
            </w:r>
            <w:hyperlink r:id="rId7" w:history="1">
              <w:r w:rsidRPr="002F6A28">
                <w:rPr>
                  <w:color w:val="0000FF"/>
                  <w:u w:val="single"/>
                </w:rPr>
                <w:t>EN</w:t>
              </w:r>
            </w:hyperlink>
            <w:r w:rsidRPr="002F6A28">
              <w:t>/</w:t>
            </w:r>
            <w:hyperlink r:id="rId8" w:history="1">
              <w:r w:rsidRPr="002F6A28">
                <w:rPr>
                  <w:color w:val="0000FF"/>
                  <w:u w:val="single"/>
                </w:rPr>
                <w:t>FR</w:t>
              </w:r>
            </w:hyperlink>
            <w:r w:rsidRPr="002F6A28">
              <w:t xml:space="preserve">), </w:t>
            </w:r>
            <w:r w:rsidRPr="002F6A28">
              <w:rPr>
                <w:i/>
                <w:iCs/>
              </w:rPr>
              <w:t>Feeds Regulations, 2024</w:t>
            </w:r>
            <w:r w:rsidRPr="002F6A28">
              <w:t xml:space="preserve"> (</w:t>
            </w:r>
            <w:hyperlink r:id="rId9" w:history="1">
              <w:r w:rsidRPr="002F6A28">
                <w:rPr>
                  <w:color w:val="0000FF"/>
                  <w:u w:val="single"/>
                </w:rPr>
                <w:t>EN</w:t>
              </w:r>
            </w:hyperlink>
            <w:r w:rsidRPr="002F6A28">
              <w:t>/</w:t>
            </w:r>
            <w:hyperlink r:id="rId10" w:history="1">
              <w:r w:rsidRPr="002F6A28">
                <w:rPr>
                  <w:color w:val="0000FF"/>
                  <w:u w:val="single"/>
                </w:rPr>
                <w:t>FR</w:t>
              </w:r>
            </w:hyperlink>
            <w:r w:rsidRPr="002F6A28">
              <w:t xml:space="preserve">), </w:t>
            </w:r>
            <w:r w:rsidRPr="002F6A28">
              <w:rPr>
                <w:i/>
                <w:iCs/>
              </w:rPr>
              <w:t>Fertilizers Regulations</w:t>
            </w:r>
            <w:r w:rsidRPr="002F6A28">
              <w:t xml:space="preserve"> (</w:t>
            </w:r>
            <w:hyperlink r:id="rId11" w:history="1">
              <w:r w:rsidRPr="002F6A28">
                <w:rPr>
                  <w:color w:val="0000FF"/>
                  <w:u w:val="single"/>
                </w:rPr>
                <w:t>EN</w:t>
              </w:r>
            </w:hyperlink>
            <w:r w:rsidRPr="002F6A28">
              <w:t>/</w:t>
            </w:r>
            <w:hyperlink r:id="rId12" w:history="1">
              <w:r w:rsidRPr="002F6A28">
                <w:rPr>
                  <w:color w:val="0000FF"/>
                  <w:u w:val="single"/>
                </w:rPr>
                <w:t>FR</w:t>
              </w:r>
            </w:hyperlink>
            <w:r w:rsidRPr="002F6A28">
              <w:t xml:space="preserve">), </w:t>
            </w:r>
            <w:r w:rsidRPr="002F6A28">
              <w:rPr>
                <w:i/>
                <w:iCs/>
              </w:rPr>
              <w:t>Safe Food for Canadians Regulations</w:t>
            </w:r>
            <w:r w:rsidRPr="002F6A28">
              <w:t xml:space="preserve"> (</w:t>
            </w:r>
            <w:hyperlink r:id="rId13" w:history="1">
              <w:r w:rsidRPr="002F6A28">
                <w:rPr>
                  <w:color w:val="0000FF"/>
                  <w:u w:val="single"/>
                </w:rPr>
                <w:t>EN</w:t>
              </w:r>
            </w:hyperlink>
            <w:r w:rsidRPr="002F6A28">
              <w:t>/</w:t>
            </w:r>
            <w:hyperlink r:id="rId14" w:history="1">
              <w:r w:rsidRPr="002F6A28">
                <w:rPr>
                  <w:color w:val="0000FF"/>
                  <w:u w:val="single"/>
                </w:rPr>
                <w:t>FR</w:t>
              </w:r>
            </w:hyperlink>
            <w:r w:rsidRPr="002F6A28">
              <w:t xml:space="preserve">), and </w:t>
            </w:r>
            <w:r w:rsidRPr="002F6A28">
              <w:rPr>
                <w:i/>
                <w:iCs/>
              </w:rPr>
              <w:t>Food and Drug Regulations</w:t>
            </w:r>
            <w:r w:rsidRPr="002F6A28">
              <w:t xml:space="preserve"> (</w:t>
            </w:r>
            <w:hyperlink r:id="rId15" w:history="1">
              <w:r w:rsidRPr="002F6A28">
                <w:rPr>
                  <w:color w:val="0000FF"/>
                  <w:u w:val="single"/>
                </w:rPr>
                <w:t>EN</w:t>
              </w:r>
            </w:hyperlink>
            <w:r w:rsidRPr="002F6A28">
              <w:t>/</w:t>
            </w:r>
            <w:hyperlink r:id="rId16" w:history="1">
              <w:r w:rsidRPr="002F6A28">
                <w:rPr>
                  <w:color w:val="0000FF"/>
                  <w:u w:val="single"/>
                </w:rPr>
                <w:t>FR</w:t>
              </w:r>
            </w:hyperlink>
            <w:r w:rsidRPr="002F6A28">
              <w:t>).</w:t>
            </w:r>
          </w:p>
        </w:tc>
      </w:tr>
      <w:tr w14:paraId="1FFB5649" w14:textId="77777777" w:rsidTr="00DB13FE">
        <w:tblPrEx>
          <w:tblW w:w="5000" w:type="pct"/>
          <w:tblLayout w:type="fixed"/>
          <w:tblLook w:val="0000"/>
        </w:tblPrEx>
        <w:tc>
          <w:tcPr>
            <w:tcW w:w="607" w:type="dxa"/>
          </w:tcPr>
          <w:p w:rsidR="00EE3A11" w:rsidRPr="002F6A28" w:rsidP="002F6A28" w14:paraId="062E2157" w14:textId="77777777">
            <w:pPr>
              <w:spacing w:before="120" w:after="120"/>
              <w:jc w:val="left"/>
              <w:rPr>
                <w:b/>
              </w:rPr>
            </w:pPr>
            <w:r w:rsidRPr="002F6A28">
              <w:rPr>
                <w:b/>
              </w:rPr>
              <w:t>9.</w:t>
            </w:r>
          </w:p>
        </w:tc>
        <w:tc>
          <w:tcPr>
            <w:tcW w:w="8373" w:type="dxa"/>
          </w:tcPr>
          <w:p w:rsidR="00EE3A11" w:rsidRPr="002F6A28" w:rsidP="008953C4" w14:paraId="32C1C728" w14:textId="77777777">
            <w:pPr>
              <w:spacing w:before="120" w:after="120"/>
            </w:pPr>
            <w:r w:rsidRPr="002F6A28">
              <w:rPr>
                <w:b/>
              </w:rPr>
              <w:t>Proposed date of adoption:</w:t>
            </w:r>
            <w:r w:rsidRPr="00C379C8">
              <w:t xml:space="preserve"> </w:t>
            </w:r>
            <w:r w:rsidRPr="00C379C8">
              <w:t>Normally within 12-18 months of publication in the Canada Gazette, Part I.</w:t>
            </w:r>
          </w:p>
          <w:p w:rsidR="00EE3A11" w:rsidRPr="002F6A28" w:rsidP="008953C4" w14:paraId="4F0222BC" w14:textId="77777777">
            <w:pPr>
              <w:spacing w:after="120"/>
            </w:pPr>
            <w:r w:rsidRPr="002F6A28">
              <w:rPr>
                <w:b/>
              </w:rPr>
              <w:t>Proposed date of entry into force:</w:t>
            </w:r>
            <w:r w:rsidRPr="00C379C8">
              <w:t xml:space="preserve"> Normally within 12-18 months of publication in the Canada Gazette, Part I.</w:t>
            </w:r>
          </w:p>
        </w:tc>
      </w:tr>
      <w:tr w14:paraId="3A6E067F" w14:textId="77777777" w:rsidTr="00DB13FE">
        <w:tblPrEx>
          <w:tblW w:w="5000" w:type="pct"/>
          <w:tblLayout w:type="fixed"/>
          <w:tblLook w:val="0000"/>
        </w:tblPrEx>
        <w:tc>
          <w:tcPr>
            <w:tcW w:w="607" w:type="dxa"/>
            <w:tcBorders>
              <w:bottom w:val="double" w:sz="4" w:space="0" w:color="auto"/>
            </w:tcBorders>
          </w:tcPr>
          <w:p w:rsidR="00F85C99" w:rsidRPr="002F6A28" w:rsidP="002F6A28" w14:paraId="0829F15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1D0AC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1340CAE" w14:textId="77777777">
            <w:pPr>
              <w:spacing w:before="120" w:after="120"/>
              <w:rPr>
                <w:bCs/>
              </w:rPr>
            </w:pPr>
            <w:r w:rsidRPr="002F6A28">
              <w:rPr>
                <w:b/>
              </w:rPr>
              <w:t>Final date for comments:</w:t>
            </w:r>
            <w:r w:rsidRPr="00C379C8" w:rsidR="00EE3A11">
              <w:t xml:space="preserve"> 12 September 2026</w:t>
            </w:r>
          </w:p>
          <w:p w:rsidR="000C3B6C" w:rsidRPr="00E3324D" w:rsidP="000C3B6C" w14:paraId="14D7172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A9FDF8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24F05E7" w14:textId="77777777">
            <w:r w:rsidRPr="00CE6C29">
              <w:t>Canada's Notification Authority and Enquiry Point</w:t>
            </w:r>
          </w:p>
          <w:p w:rsidR="00CE6C29" w:rsidRPr="00CE6C29" w:rsidP="000C3B6C" w14:paraId="2CA229D0" w14:textId="77777777">
            <w:r w:rsidRPr="00CE6C29">
              <w:t>Global Affairs Canada</w:t>
            </w:r>
          </w:p>
          <w:p w:rsidR="00CE6C29" w:rsidRPr="00CE6C29" w:rsidP="000C3B6C" w14:paraId="642AE18F" w14:textId="77777777">
            <w:r w:rsidRPr="00CE6C29">
              <w:t>Technical Barriers and Regulations Division</w:t>
            </w:r>
          </w:p>
          <w:p w:rsidR="00CE6C29" w:rsidRPr="00CE6C29" w:rsidP="000C3B6C" w14:paraId="5C1C295A" w14:textId="77777777">
            <w:r w:rsidRPr="00CE6C29">
              <w:t>111 Sussex Drive Ottawa (Ontario)</w:t>
            </w:r>
          </w:p>
          <w:p w:rsidR="00CE6C29" w:rsidRPr="00CE6C29" w:rsidP="000C3B6C" w14:paraId="3F6B4BF2" w14:textId="77777777">
            <w:r w:rsidRPr="00CE6C29">
              <w:t>K1A 0G2 Canada</w:t>
            </w:r>
          </w:p>
          <w:p w:rsidR="00CE6C29" w:rsidRPr="00CE6C29" w:rsidP="000C3B6C" w14:paraId="124D4C1F" w14:textId="77777777">
            <w:pPr>
              <w:spacing w:after="120"/>
            </w:pPr>
            <w:r w:rsidRPr="00CE6C29">
              <w:t xml:space="preserve">Email: </w:t>
            </w:r>
            <w:hyperlink r:id="rId17" w:history="1">
              <w:r w:rsidRPr="00CE6C29">
                <w:rPr>
                  <w:color w:val="0000FF"/>
                  <w:u w:val="single"/>
                </w:rPr>
                <w:t>enquirypoint@international.gc.ca</w:t>
              </w:r>
            </w:hyperlink>
          </w:p>
        </w:tc>
      </w:tr>
    </w:tbl>
    <w:p w:rsidR="00EE3A11" w:rsidRPr="002F6A28" w:rsidP="00887259" w14:paraId="29FC09AF"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3C864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47B71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2500D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692E24" w14:textId="77777777">
    <w:pPr>
      <w:pStyle w:val="Header"/>
      <w:pBdr>
        <w:bottom w:val="single" w:sz="4" w:space="1" w:color="auto"/>
      </w:pBdr>
      <w:tabs>
        <w:tab w:val="clear" w:pos="4513"/>
        <w:tab w:val="clear" w:pos="9027"/>
      </w:tabs>
      <w:jc w:val="center"/>
    </w:pPr>
    <w:r w:rsidRPr="002F6A28">
      <w:t>tbtSymbol</w:t>
    </w:r>
  </w:p>
  <w:p w:rsidR="009239F7" w:rsidRPr="002F6A28" w:rsidP="009239F7" w14:paraId="5E1BD140" w14:textId="77777777">
    <w:pPr>
      <w:pStyle w:val="Header"/>
      <w:pBdr>
        <w:bottom w:val="single" w:sz="4" w:space="1" w:color="auto"/>
      </w:pBdr>
      <w:tabs>
        <w:tab w:val="clear" w:pos="4513"/>
        <w:tab w:val="clear" w:pos="9027"/>
      </w:tabs>
      <w:jc w:val="center"/>
    </w:pPr>
  </w:p>
  <w:p w:rsidR="009239F7" w:rsidRPr="002F6A28" w:rsidP="009239F7" w14:paraId="6C376A9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0182D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53A6CA" w14:textId="77777777">
    <w:pPr>
      <w:pStyle w:val="Header"/>
      <w:pBdr>
        <w:bottom w:val="single" w:sz="4" w:space="1" w:color="auto"/>
      </w:pBdr>
      <w:tabs>
        <w:tab w:val="clear" w:pos="4513"/>
        <w:tab w:val="clear" w:pos="9027"/>
      </w:tabs>
      <w:jc w:val="center"/>
    </w:pPr>
    <w:bookmarkStart w:id="0" w:name="spsSymbolHeader"/>
    <w:r w:rsidRPr="002F6A28">
      <w:t>G/TBT/N/CAN/781</w:t>
    </w:r>
    <w:bookmarkEnd w:id="0"/>
  </w:p>
  <w:p w:rsidR="009239F7" w:rsidRPr="002F6A28" w:rsidP="009239F7" w14:paraId="71326FEB" w14:textId="77777777">
    <w:pPr>
      <w:pStyle w:val="Header"/>
      <w:pBdr>
        <w:bottom w:val="single" w:sz="4" w:space="1" w:color="auto"/>
      </w:pBdr>
      <w:tabs>
        <w:tab w:val="clear" w:pos="4513"/>
        <w:tab w:val="clear" w:pos="9027"/>
      </w:tabs>
      <w:jc w:val="center"/>
    </w:pPr>
  </w:p>
  <w:p w:rsidR="009239F7" w:rsidRPr="002F6A28" w:rsidP="009239F7" w14:paraId="36FC70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D7D47D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C9820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F45E4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D29C78" w14:textId="77777777">
          <w:pPr>
            <w:jc w:val="right"/>
            <w:rPr>
              <w:b/>
              <w:color w:val="FF0000"/>
              <w:szCs w:val="16"/>
            </w:rPr>
          </w:pPr>
        </w:p>
      </w:tc>
    </w:tr>
    <w:bookmarkEnd w:id="1"/>
    <w:tr w14:paraId="0820BC3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18E4FF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9E6F4C" w14:textId="77777777">
          <w:pPr>
            <w:jc w:val="right"/>
            <w:rPr>
              <w:b/>
              <w:szCs w:val="16"/>
            </w:rPr>
          </w:pPr>
        </w:p>
      </w:tc>
    </w:tr>
    <w:tr w14:paraId="56D0464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AE111F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7C4E2F" w14:textId="77777777">
          <w:pPr>
            <w:jc w:val="right"/>
            <w:rPr>
              <w:b/>
              <w:szCs w:val="16"/>
            </w:rPr>
          </w:pPr>
          <w:bookmarkStart w:id="2" w:name="bmkSymbols"/>
          <w:r w:rsidRPr="002F6A28">
            <w:rPr>
              <w:b/>
              <w:szCs w:val="16"/>
            </w:rPr>
            <w:t>G/TBT/N/CAN/781</w:t>
          </w:r>
          <w:bookmarkEnd w:id="2"/>
        </w:p>
      </w:tc>
    </w:tr>
    <w:tr w14:paraId="3272D0F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25E107" w14:textId="77777777"/>
      </w:tc>
      <w:tc>
        <w:tcPr>
          <w:tcW w:w="5448" w:type="dxa"/>
          <w:gridSpan w:val="2"/>
          <w:shd w:val="clear" w:color="auto" w:fill="FFFFFF"/>
          <w:tcMar>
            <w:left w:w="108" w:type="dxa"/>
            <w:right w:w="108" w:type="dxa"/>
          </w:tcMar>
          <w:vAlign w:val="center"/>
        </w:tcPr>
        <w:p w:rsidR="00ED54E0" w:rsidRPr="009239F7" w:rsidP="00B801E9" w14:paraId="3B366FFB" w14:textId="77777777">
          <w:pPr>
            <w:jc w:val="right"/>
            <w:rPr>
              <w:szCs w:val="16"/>
            </w:rPr>
          </w:pPr>
          <w:bookmarkStart w:id="3" w:name="spsDateDistribution"/>
          <w:bookmarkStart w:id="4" w:name="bmkDate"/>
          <w:r w:rsidRPr="009239F7">
            <w:rPr>
              <w:szCs w:val="16"/>
            </w:rPr>
            <w:t>14 July 2026</w:t>
          </w:r>
          <w:bookmarkEnd w:id="3"/>
          <w:bookmarkEnd w:id="4"/>
        </w:p>
      </w:tc>
    </w:tr>
    <w:tr w14:paraId="7DEB00B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C86DD2" w14:textId="77777777">
          <w:pPr>
            <w:jc w:val="left"/>
            <w:rPr>
              <w:b/>
            </w:rPr>
          </w:pPr>
          <w:bookmarkStart w:id="5" w:name="bmkSerial"/>
          <w:r>
            <w:rPr>
              <w:rFonts w:ascii="Verdana" w:eastAsia="Verdana" w:hAnsi="Verdana" w:cs="Verdana"/>
              <w:b w:val="0"/>
              <w:color w:val="FF0000"/>
              <w:sz w:val="18"/>
            </w:rPr>
            <w:t>(26-5045)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2A116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73D15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87A4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C486CA" w14:textId="28E6287F">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r w:rsidR="00AD4B78">
            <w:rPr>
              <w:bCs/>
              <w:szCs w:val="18"/>
            </w:rPr>
            <w:t>/</w:t>
          </w:r>
          <w:r w:rsidRPr="002F6A28" w:rsidR="00F263FA">
            <w:rPr>
              <w:bCs/>
              <w:szCs w:val="18"/>
            </w:rPr>
            <w:t>French</w:t>
          </w:r>
          <w:bookmarkEnd w:id="8"/>
          <w:bookmarkEnd w:id="9"/>
        </w:p>
      </w:tc>
    </w:tr>
  </w:tbl>
  <w:p w:rsidR="00ED54E0" w:rsidRPr="002F6A28" w14:paraId="1132EE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4406643">
    <w:abstractNumId w:val="9"/>
  </w:num>
  <w:num w:numId="2" w16cid:durableId="600837865">
    <w:abstractNumId w:val="7"/>
  </w:num>
  <w:num w:numId="3" w16cid:durableId="891698332">
    <w:abstractNumId w:val="6"/>
  </w:num>
  <w:num w:numId="4" w16cid:durableId="1617566166">
    <w:abstractNumId w:val="5"/>
  </w:num>
  <w:num w:numId="5" w16cid:durableId="108625109">
    <w:abstractNumId w:val="4"/>
  </w:num>
  <w:num w:numId="6" w16cid:durableId="1581478423">
    <w:abstractNumId w:val="12"/>
  </w:num>
  <w:num w:numId="7" w16cid:durableId="472018451">
    <w:abstractNumId w:val="11"/>
  </w:num>
  <w:num w:numId="8" w16cid:durableId="343360053">
    <w:abstractNumId w:val="10"/>
  </w:num>
  <w:num w:numId="9" w16cid:durableId="3358065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5990089">
    <w:abstractNumId w:val="13"/>
  </w:num>
  <w:num w:numId="11" w16cid:durableId="768430586">
    <w:abstractNumId w:val="8"/>
  </w:num>
  <w:num w:numId="12" w16cid:durableId="147983746">
    <w:abstractNumId w:val="3"/>
  </w:num>
  <w:num w:numId="13" w16cid:durableId="1368798708">
    <w:abstractNumId w:val="2"/>
  </w:num>
  <w:num w:numId="14" w16cid:durableId="388922266">
    <w:abstractNumId w:val="1"/>
  </w:num>
  <w:num w:numId="15" w16cid:durableId="71342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09B4"/>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34A"/>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2918"/>
    <w:rsid w:val="00A6057A"/>
    <w:rsid w:val="00A611FF"/>
    <w:rsid w:val="00A64451"/>
    <w:rsid w:val="00A71BE1"/>
    <w:rsid w:val="00A74017"/>
    <w:rsid w:val="00A75D61"/>
    <w:rsid w:val="00A769BF"/>
    <w:rsid w:val="00A9543B"/>
    <w:rsid w:val="00AA332C"/>
    <w:rsid w:val="00AA4D5C"/>
    <w:rsid w:val="00AA646C"/>
    <w:rsid w:val="00AB0E5D"/>
    <w:rsid w:val="00AC27F8"/>
    <w:rsid w:val="00AC6C6E"/>
    <w:rsid w:val="00AD3A28"/>
    <w:rsid w:val="00AD4B7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5C5"/>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1710"/>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25558"/>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EF4FA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aws-lois.justice.gc.ca/fra/reglements/DORS-2024-132/index.html" TargetMode="External" /><Relationship Id="rId11" Type="http://schemas.openxmlformats.org/officeDocument/2006/relationships/hyperlink" Target="https://laws-lois.justice.gc.ca/eng/regulations/C.R.C.,_c._666/index.html" TargetMode="External" /><Relationship Id="rId12" Type="http://schemas.openxmlformats.org/officeDocument/2006/relationships/hyperlink" Target="https://laws-lois.justice.gc.ca/fra/reglements/C.R.C.%2C_ch._666/index.html" TargetMode="External" /><Relationship Id="rId13" Type="http://schemas.openxmlformats.org/officeDocument/2006/relationships/hyperlink" Target="https://laws-lois.justice.gc.ca/eng/regulations/SOR-2018-108/index.html" TargetMode="External" /><Relationship Id="rId14" Type="http://schemas.openxmlformats.org/officeDocument/2006/relationships/hyperlink" Target="https://laws-lois.justice.gc.ca/fra/reglements/DORS-2018-108/index.html" TargetMode="External" /><Relationship Id="rId15" Type="http://schemas.openxmlformats.org/officeDocument/2006/relationships/hyperlink" Target="https://laws-lois.justice.gc.ca/eng/regulations/c.r.c.,_c._870/index.html" TargetMode="External" /><Relationship Id="rId16" Type="http://schemas.openxmlformats.org/officeDocument/2006/relationships/hyperlink" Target="https://laws-lois.justice.gc.ca/fra/reglements/C.R.C.%2C_ch._870/index.html" TargetMode="External" /><Relationship Id="rId17" Type="http://schemas.openxmlformats.org/officeDocument/2006/relationships/hyperlink" Target="mailto:enquirypoint@international.gc.ca"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gazette.gc.ca/rp-pr/p1/2026/2026-07-11/html/reg1-eng.html" TargetMode="External" /><Relationship Id="rId7" Type="http://schemas.openxmlformats.org/officeDocument/2006/relationships/hyperlink" Target="https://laws-lois.justice.gc.ca/eng/regulations/c.r.c.,_c._296/" TargetMode="External" /><Relationship Id="rId8" Type="http://schemas.openxmlformats.org/officeDocument/2006/relationships/hyperlink" Target="https://laws-lois.justice.gc.ca/fra/reglements/C.R.C.%2C_ch._296/" TargetMode="External" /><Relationship Id="rId9" Type="http://schemas.openxmlformats.org/officeDocument/2006/relationships/hyperlink" Target="https://laws-lois.justice.gc.ca/eng/regulations/SOR-2024-132/index.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4E70-2200-45AD-B424-EE7C6563387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2026-07-14T10:02:00Z</dcterms:created>
  <dcterms:modified xsi:type="dcterms:W3CDTF">2026-07-14T10:07:00Z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