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B2B7F34" w14:textId="77777777">
      <w:pPr>
        <w:pStyle w:val="Title"/>
      </w:pPr>
      <w:r w:rsidRPr="002F663C">
        <w:t>NOTIFICATION</w:t>
      </w:r>
    </w:p>
    <w:p w:rsidR="002F663C" w:rsidRPr="002F663C" w:rsidP="00DD3DD7" w14:paraId="4EBBD764" w14:textId="77777777">
      <w:pPr>
        <w:pStyle w:val="Title3"/>
      </w:pPr>
      <w:r w:rsidRPr="002F663C">
        <w:t>Addendum</w:t>
      </w:r>
    </w:p>
    <w:p w:rsidR="002F663C" w:rsidP="001E2E4A" w14:paraId="1742E79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7CBAE0D8" w14:textId="77777777">
      <w:pPr>
        <w:rPr>
          <w:rFonts w:eastAsia="Calibri" w:cs="Times New Roman"/>
        </w:rPr>
      </w:pPr>
    </w:p>
    <w:p w:rsidR="002F663C" w:rsidRPr="002F663C" w:rsidP="002F663C" w14:paraId="2850B4A2" w14:textId="77777777">
      <w:pPr>
        <w:jc w:val="center"/>
        <w:rPr>
          <w:rFonts w:eastAsia="Calibri" w:cs="Times New Roman"/>
          <w:b/>
        </w:rPr>
      </w:pPr>
      <w:r w:rsidRPr="002F663C">
        <w:rPr>
          <w:rFonts w:eastAsia="Calibri" w:cs="Times New Roman"/>
          <w:b/>
        </w:rPr>
        <w:t>_______________</w:t>
      </w:r>
    </w:p>
    <w:p w:rsidR="002F663C" w:rsidP="002F663C" w14:paraId="3B2E6F90" w14:textId="77777777">
      <w:pPr>
        <w:rPr>
          <w:rFonts w:eastAsia="Calibri" w:cs="Times New Roman"/>
        </w:rPr>
      </w:pPr>
    </w:p>
    <w:p w:rsidR="00C14444" w:rsidRPr="002F663C" w:rsidP="002F663C" w14:paraId="7F7AB070" w14:textId="77777777">
      <w:pPr>
        <w:rPr>
          <w:rFonts w:eastAsia="Calibri" w:cs="Times New Roman"/>
        </w:rPr>
      </w:pPr>
    </w:p>
    <w:p w:rsidR="002F663C" w:rsidRPr="002F663C" w:rsidP="002F663C" w14:paraId="20CFC3A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i/>
          <w:iCs/>
          <w:szCs w:val="18"/>
        </w:rPr>
        <w:t xml:space="preserve">Regulations Amending the Medical Devices Regulations </w:t>
      </w:r>
      <w:r w:rsidRPr="00022513">
        <w:rPr>
          <w:rFonts w:eastAsia="Calibri" w:cs="Times New Roman"/>
          <w:bCs/>
          <w:szCs w:val="18"/>
        </w:rPr>
        <w:t>(Establishment Licences)</w:t>
      </w:r>
    </w:p>
    <w:p w:rsidR="002F663C" w:rsidRPr="002F663C" w:rsidP="002F663C" w14:paraId="5D92C1F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FCD7F2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2277C0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8DBAFA8" w14:textId="77777777" w:rsidTr="00E9471B">
        <w:tblPrEx>
          <w:tblW w:w="9049" w:type="dxa"/>
          <w:tblLayout w:type="fixed"/>
          <w:tblLook w:val="04A0"/>
        </w:tblPrEx>
        <w:tc>
          <w:tcPr>
            <w:tcW w:w="851" w:type="dxa"/>
          </w:tcPr>
          <w:p w:rsidR="002F663C" w:rsidRPr="00711F9C" w:rsidP="00C14444" w14:paraId="2993722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89009F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E1EE643" w14:textId="77777777" w:rsidTr="00E9471B">
        <w:tblPrEx>
          <w:tblW w:w="9049" w:type="dxa"/>
          <w:tblLayout w:type="fixed"/>
          <w:tblLook w:val="04A0"/>
        </w:tblPrEx>
        <w:tc>
          <w:tcPr>
            <w:tcW w:w="851" w:type="dxa"/>
          </w:tcPr>
          <w:p w:rsidR="002F663C" w:rsidRPr="00711F9C" w:rsidP="00C14444" w14:paraId="4EEEB93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7435BA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4 June 2026</w:t>
            </w:r>
          </w:p>
        </w:tc>
      </w:tr>
      <w:tr w14:paraId="14CB6B6D" w14:textId="77777777" w:rsidTr="00E9471B">
        <w:tblPrEx>
          <w:tblW w:w="9049" w:type="dxa"/>
          <w:tblLayout w:type="fixed"/>
          <w:tblLook w:val="04A0"/>
        </w:tblPrEx>
        <w:tc>
          <w:tcPr>
            <w:tcW w:w="851" w:type="dxa"/>
          </w:tcPr>
          <w:p w:rsidR="002F663C" w:rsidRPr="00711F9C" w:rsidP="00C14444" w14:paraId="727469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7084EF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June 2026</w:t>
            </w:r>
          </w:p>
        </w:tc>
      </w:tr>
      <w:tr w14:paraId="25A1E4DC" w14:textId="77777777" w:rsidTr="00E9471B">
        <w:tblPrEx>
          <w:tblW w:w="9049" w:type="dxa"/>
          <w:tblLayout w:type="fixed"/>
          <w:tblLook w:val="04A0"/>
        </w:tblPrEx>
        <w:tc>
          <w:tcPr>
            <w:tcW w:w="851" w:type="dxa"/>
          </w:tcPr>
          <w:p w:rsidR="002F663C" w:rsidRPr="00711F9C" w:rsidP="00C14444" w14:paraId="5AE4DF8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60415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December 1, 2026</w:t>
            </w:r>
          </w:p>
          <w:p w:rsidR="002F663C" w:rsidRPr="002F663C" w:rsidP="00C14444" w14:paraId="1CB6A342" w14:textId="77777777">
            <w:pPr>
              <w:spacing w:before="60" w:after="60"/>
              <w:rPr>
                <w:rFonts w:eastAsia="Calibri" w:cs="Times New Roman"/>
              </w:rPr>
            </w:pPr>
            <w:r w:rsidRPr="002F663C">
              <w:rPr>
                <w:rFonts w:eastAsia="Calibri" w:cs="Times New Roman"/>
              </w:rPr>
              <w:t>The amendment to the Medical Device Regulations (MDR) will come into force 6 months after the date of registration.</w:t>
            </w:r>
          </w:p>
        </w:tc>
      </w:tr>
      <w:tr w14:paraId="49CD9B06" w14:textId="77777777" w:rsidTr="00E9471B">
        <w:tblPrEx>
          <w:tblW w:w="9049" w:type="dxa"/>
          <w:tblLayout w:type="fixed"/>
          <w:tblLook w:val="04A0"/>
        </w:tblPrEx>
        <w:tc>
          <w:tcPr>
            <w:tcW w:w="851" w:type="dxa"/>
          </w:tcPr>
          <w:p w:rsidR="002F663C" w:rsidRPr="00711F9C" w:rsidP="00C14444" w14:paraId="4ED5832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014F74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F5E907E" w14:textId="77777777">
            <w:pPr>
              <w:spacing w:before="120" w:after="120"/>
              <w:rPr>
                <w:rFonts w:eastAsia="Calibri" w:cs="Times New Roman"/>
              </w:rPr>
            </w:pPr>
            <w:r w:rsidRPr="002F663C">
              <w:rPr>
                <w:rFonts w:eastAsia="Calibri" w:cs="Times New Roman"/>
              </w:rPr>
              <w:t>Canada Gazette, Part II, Vol. 160, No. 12, June 17, 2026, pages 1536-1569 (available in English and French)</w:t>
            </w:r>
          </w:p>
          <w:p w:rsidR="002F663C" w:rsidRPr="002F663C" w:rsidP="00EB7B40" w14:paraId="19DA12CF" w14:textId="77777777">
            <w:pPr>
              <w:spacing w:before="120" w:after="120"/>
              <w:rPr>
                <w:rFonts w:eastAsia="Calibri" w:cs="Times New Roman"/>
              </w:rPr>
            </w:pPr>
            <w:hyperlink r:id="rId7" w:tgtFrame="_blank" w:history="1">
              <w:r w:rsidRPr="002F663C">
                <w:rPr>
                  <w:rFonts w:eastAsia="Calibri" w:cs="Times New Roman"/>
                  <w:color w:val="0000FF"/>
                  <w:u w:val="single"/>
                </w:rPr>
                <w:t>https://gazette.gc.ca/rp-pr/p2/2026/2026-06-17/html/sor-dors110-eng.html</w:t>
              </w:r>
            </w:hyperlink>
          </w:p>
          <w:p w:rsidR="002F663C" w:rsidRPr="002F663C" w:rsidP="00EB7B40" w14:paraId="5E104B5D" w14:textId="77777777">
            <w:pPr>
              <w:spacing w:before="120" w:after="120"/>
              <w:rPr>
                <w:rFonts w:eastAsia="Calibri" w:cs="Times New Roman"/>
              </w:rPr>
            </w:pPr>
            <w:hyperlink r:id="rId8" w:tgtFrame="_blank" w:history="1">
              <w:r w:rsidRPr="002F663C">
                <w:rPr>
                  <w:rFonts w:eastAsia="Calibri" w:cs="Times New Roman"/>
                  <w:color w:val="0000FF"/>
                  <w:u w:val="single"/>
                </w:rPr>
                <w:t>https://gazette.gc.ca/rp-pr/p2/2026/2026-06-17/html/sor-dors110-fra.html</w:t>
              </w:r>
            </w:hyperlink>
          </w:p>
          <w:p w:rsidR="002F663C" w:rsidRPr="002F663C" w:rsidP="00EB7B40" w14:paraId="32282985" w14:textId="77777777">
            <w:pPr>
              <w:spacing w:before="120" w:after="120"/>
              <w:rPr>
                <w:rFonts w:eastAsia="Calibri" w:cs="Times New Roman"/>
              </w:rPr>
            </w:pPr>
            <w:hyperlink r:id="rId9" w:tgtFrame="_blank" w:history="1">
              <w:r w:rsidRPr="002F663C">
                <w:rPr>
                  <w:rFonts w:eastAsia="Calibri" w:cs="Times New Roman"/>
                  <w:color w:val="0000FF"/>
                  <w:u w:val="single"/>
                </w:rPr>
                <w:t>https://gazette.gc.ca/rp-pr/p2/2026/2026-06-17/pdf/g2-16012.pdf</w:t>
              </w:r>
            </w:hyperlink>
          </w:p>
        </w:tc>
      </w:tr>
      <w:tr w14:paraId="56E10CED" w14:textId="77777777" w:rsidTr="00E9471B">
        <w:tblPrEx>
          <w:tblW w:w="9049" w:type="dxa"/>
          <w:tblLayout w:type="fixed"/>
          <w:tblLook w:val="04A0"/>
        </w:tblPrEx>
        <w:tc>
          <w:tcPr>
            <w:tcW w:w="851" w:type="dxa"/>
          </w:tcPr>
          <w:p w:rsidR="002F663C" w:rsidRPr="00711F9C" w:rsidP="00C14444" w14:paraId="6FC1087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B6FEFB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04D0C6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49412E5" w14:textId="77777777" w:rsidTr="00E9471B">
        <w:tblPrEx>
          <w:tblW w:w="9049" w:type="dxa"/>
          <w:tblLayout w:type="fixed"/>
          <w:tblLook w:val="04A0"/>
        </w:tblPrEx>
        <w:tc>
          <w:tcPr>
            <w:tcW w:w="851" w:type="dxa"/>
          </w:tcPr>
          <w:p w:rsidR="002F663C" w:rsidRPr="00711F9C" w:rsidP="00C14444" w14:paraId="12B9CDB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D15DBB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A9AED7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40B530A" w14:textId="77777777" w:rsidTr="00E9471B">
        <w:tblPrEx>
          <w:tblW w:w="9049" w:type="dxa"/>
          <w:tblLayout w:type="fixed"/>
          <w:tblLook w:val="04A0"/>
        </w:tblPrEx>
        <w:tc>
          <w:tcPr>
            <w:tcW w:w="851" w:type="dxa"/>
          </w:tcPr>
          <w:p w:rsidR="002F663C" w:rsidRPr="00711F9C" w:rsidP="00C14444" w14:paraId="2FA5A4EC"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D95F69" w14:paraId="00B4C163" w14:textId="77777777">
            <w:pPr>
              <w:spacing w:before="60" w:after="12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p w:rsidR="002F663C" w:rsidRPr="002F663C" w:rsidP="00D95F69" w14:paraId="316BA9AA" w14:textId="77777777">
            <w:pPr>
              <w:spacing w:before="120" w:after="120"/>
              <w:rPr>
                <w:rFonts w:eastAsia="Calibri" w:cs="Times New Roman"/>
                <w:sz w:val="16"/>
                <w:szCs w:val="16"/>
              </w:rPr>
            </w:pPr>
            <w:r w:rsidRPr="002F663C">
              <w:rPr>
                <w:rFonts w:eastAsia="Calibri" w:cs="Times New Roman"/>
                <w:sz w:val="16"/>
                <w:szCs w:val="16"/>
              </w:rPr>
              <w:t xml:space="preserve">Medical Device Establishment Licence (MDEL) application: instructions (FRM-0292): </w:t>
            </w:r>
            <w:hyperlink r:id="rId10" w:tgtFrame="_blank" w:history="1">
              <w:r w:rsidRPr="002F663C">
                <w:rPr>
                  <w:rFonts w:eastAsia="Calibri" w:cs="Times New Roman"/>
                  <w:color w:val="0000FF"/>
                  <w:sz w:val="16"/>
                  <w:szCs w:val="16"/>
                  <w:u w:val="single"/>
                </w:rPr>
                <w:t>https://www.canada.ca/en/health-canada/services/drugs-health-products/compliance-enforcement/establishment-licences/forms/medical-device-establishment-licence-application-form-instructions-0292.html</w:t>
              </w:r>
            </w:hyperlink>
          </w:p>
          <w:p w:rsidR="002F663C" w:rsidRPr="002F663C" w:rsidP="00D95F69" w14:paraId="0A58A92B" w14:textId="77777777">
            <w:pPr>
              <w:spacing w:before="120" w:after="120"/>
              <w:rPr>
                <w:rFonts w:eastAsia="Calibri" w:cs="Times New Roman"/>
                <w:sz w:val="16"/>
                <w:szCs w:val="16"/>
              </w:rPr>
            </w:pPr>
            <w:r w:rsidRPr="002F663C">
              <w:rPr>
                <w:rFonts w:eastAsia="Calibri" w:cs="Times New Roman"/>
                <w:sz w:val="16"/>
                <w:szCs w:val="16"/>
              </w:rPr>
              <w:t xml:space="preserve">Risk classification guide for medical device establishment inspections (GUI-0079): </w:t>
            </w:r>
            <w:hyperlink r:id="rId11" w:tgtFrame="_blank" w:history="1">
              <w:r w:rsidRPr="002F663C">
                <w:rPr>
                  <w:rFonts w:eastAsia="Calibri" w:cs="Times New Roman"/>
                  <w:color w:val="0000FF"/>
                  <w:sz w:val="16"/>
                  <w:szCs w:val="16"/>
                  <w:u w:val="single"/>
                </w:rPr>
                <w:t>https://www.canada.ca/en/health-canada/services/drugs-health-products/compliance-enforcement/information-health-product/medical-devices/guidance-risk-classification-medical-device-observations-0079.html</w:t>
              </w:r>
            </w:hyperlink>
          </w:p>
          <w:p w:rsidR="002F663C" w:rsidRPr="002F663C" w:rsidP="00D95F69" w14:paraId="065E7D66" w14:textId="77777777">
            <w:pPr>
              <w:spacing w:before="120" w:after="120"/>
              <w:rPr>
                <w:rFonts w:eastAsia="Calibri" w:cs="Times New Roman"/>
                <w:sz w:val="16"/>
                <w:szCs w:val="16"/>
              </w:rPr>
            </w:pPr>
            <w:r w:rsidRPr="002F663C">
              <w:rPr>
                <w:rFonts w:eastAsia="Calibri" w:cs="Times New Roman"/>
                <w:sz w:val="16"/>
                <w:szCs w:val="16"/>
              </w:rPr>
              <w:t xml:space="preserve">Guidance on medical device establishment licensing (GUI-0016): </w:t>
            </w:r>
            <w:hyperlink r:id="rId12" w:tgtFrame="_blank" w:history="1">
              <w:r w:rsidRPr="002F663C">
                <w:rPr>
                  <w:rFonts w:eastAsia="Calibri" w:cs="Times New Roman"/>
                  <w:color w:val="0000FF"/>
                  <w:sz w:val="16"/>
                  <w:szCs w:val="16"/>
                  <w:u w:val="single"/>
                </w:rPr>
                <w:t>https://www.canada.ca/en/health-canada/services/drugs-health-products/compliance-enforcement/establishment-licences/directives-guidance-documents-policies/guidance-medical-device-establishment-licensing-0016.html</w:t>
              </w:r>
            </w:hyperlink>
          </w:p>
          <w:p w:rsidR="002F663C" w:rsidRPr="002F663C" w:rsidP="00D95F69" w14:paraId="71FD78AC" w14:textId="77777777">
            <w:pPr>
              <w:spacing w:before="120" w:after="120"/>
              <w:rPr>
                <w:rFonts w:eastAsia="Calibri" w:cs="Times New Roman"/>
                <w:sz w:val="16"/>
                <w:szCs w:val="16"/>
              </w:rPr>
            </w:pPr>
            <w:r w:rsidRPr="002F663C">
              <w:rPr>
                <w:rFonts w:eastAsia="Calibri" w:cs="Times New Roman"/>
                <w:sz w:val="16"/>
                <w:szCs w:val="16"/>
              </w:rPr>
              <w:t xml:space="preserve">How Health Canada inspects medical device establishments (GUI-0064): </w:t>
            </w:r>
            <w:hyperlink r:id="rId13" w:tgtFrame="_blank" w:history="1">
              <w:r w:rsidRPr="002F663C">
                <w:rPr>
                  <w:rFonts w:eastAsia="Calibri" w:cs="Times New Roman"/>
                  <w:color w:val="0000FF"/>
                  <w:sz w:val="16"/>
                  <w:szCs w:val="16"/>
                  <w:u w:val="single"/>
                </w:rPr>
                <w:t>https://www.canada.ca/en/health-canada/services/drugs-health-products/compliance-enforcement/information-health-product/medical-devices/inspects-medical-device-establishments-0064.html</w:t>
              </w:r>
            </w:hyperlink>
          </w:p>
        </w:tc>
      </w:tr>
      <w:tr w14:paraId="2DB81274" w14:textId="77777777" w:rsidTr="00E9471B">
        <w:tblPrEx>
          <w:tblW w:w="9049" w:type="dxa"/>
          <w:tblLayout w:type="fixed"/>
          <w:tblLook w:val="04A0"/>
        </w:tblPrEx>
        <w:tc>
          <w:tcPr>
            <w:tcW w:w="851" w:type="dxa"/>
            <w:tcBorders>
              <w:bottom w:val="double" w:sz="4" w:space="0" w:color="auto"/>
            </w:tcBorders>
          </w:tcPr>
          <w:p w:rsidR="002F663C" w:rsidRPr="00711F9C" w:rsidP="00C14444" w14:paraId="617D5BC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135F30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9A8C29D" w14:textId="77777777">
      <w:pPr>
        <w:jc w:val="left"/>
        <w:rPr>
          <w:rFonts w:eastAsia="Calibri" w:cs="Times New Roman"/>
          <w:highlight w:val="yellow"/>
        </w:rPr>
      </w:pPr>
    </w:p>
    <w:p w:rsidR="003971FF" w:rsidRPr="007F6EA2" w:rsidP="00B16ACF" w14:paraId="2A3EA5A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WTO was notified of the proposed amendments to the MDR under </w:t>
      </w:r>
      <w:hyperlink r:id="rId14" w:history="1">
        <w:r w:rsidRPr="002F663C">
          <w:rPr>
            <w:rFonts w:eastAsia="Calibri" w:cs="Times New Roman"/>
            <w:color w:val="0000FF"/>
            <w:szCs w:val="18"/>
            <w:u w:val="single"/>
          </w:rPr>
          <w:t>G/TBT/N/CAN/758</w:t>
        </w:r>
      </w:hyperlink>
      <w:r w:rsidRPr="002F663C">
        <w:rPr>
          <w:rFonts w:eastAsia="Calibri" w:cs="Times New Roman"/>
          <w:szCs w:val="18"/>
        </w:rPr>
        <w:t xml:space="preserve"> on November 13, 2025. </w:t>
      </w:r>
    </w:p>
    <w:p w:rsidR="00420BDE" w:rsidRPr="002F663C" w:rsidP="00B16ACF" w14:paraId="4066B0DE" w14:textId="77777777">
      <w:pPr>
        <w:spacing w:before="120" w:after="120"/>
        <w:rPr>
          <w:rFonts w:eastAsia="Calibri" w:cs="Times New Roman"/>
          <w:szCs w:val="18"/>
        </w:rPr>
      </w:pPr>
      <w:r w:rsidRPr="002F663C">
        <w:rPr>
          <w:rFonts w:eastAsia="Calibri" w:cs="Times New Roman"/>
          <w:szCs w:val="18"/>
        </w:rPr>
        <w:t>The objective of these amendments to the MDR is to modernize the Medical Device Establishment Licensing (MDEL) framework to better respond to a rapidly innovative industry, while maintaining oversight to better manage emerging health and safety risks. These objectives include reducing unnecessary burden to facilitate international alignment, improving Health Canada's ability to identify and monitor non-compliant medical devices and establishments that may pose a risk of injury to health, and providing certa</w:t>
      </w:r>
      <w:r w:rsidRPr="002F663C">
        <w:rPr>
          <w:rFonts w:eastAsia="Calibri" w:cs="Times New Roman"/>
          <w:szCs w:val="18"/>
        </w:rPr>
        <w:t xml:space="preserve">inty with respect to the requirements in the MDR. Further, these amendments align with the objectives of the </w:t>
      </w:r>
      <w:hyperlink r:id="rId15" w:history="1">
        <w:r w:rsidRPr="002F663C">
          <w:rPr>
            <w:rFonts w:eastAsia="Calibri" w:cs="Times New Roman"/>
            <w:color w:val="0000FF"/>
            <w:szCs w:val="18"/>
            <w:u w:val="single"/>
          </w:rPr>
          <w:t>report on red tape reduction</w:t>
        </w:r>
      </w:hyperlink>
      <w:r w:rsidRPr="002F663C">
        <w:rPr>
          <w:rFonts w:eastAsia="Calibri" w:cs="Times New Roman"/>
          <w:szCs w:val="18"/>
        </w:rPr>
        <w:t xml:space="preserve"> (RTR) and contribute to risk-based regulating.</w:t>
      </w:r>
    </w:p>
    <w:p w:rsidR="00420BDE" w:rsidRPr="002F663C" w:rsidP="00B16ACF" w14:paraId="3E9C1861" w14:textId="77777777">
      <w:pPr>
        <w:spacing w:before="120" w:after="120"/>
        <w:rPr>
          <w:rFonts w:eastAsia="Calibri" w:cs="Times New Roman"/>
          <w:szCs w:val="18"/>
        </w:rPr>
      </w:pPr>
      <w:r w:rsidRPr="002F663C">
        <w:rPr>
          <w:rFonts w:eastAsia="Calibri" w:cs="Times New Roman"/>
          <w:szCs w:val="18"/>
        </w:rPr>
        <w:t xml:space="preserve">The amendments will remove the requirement for importers with an MDEL to import from foreign distributors with an MDEL. Having a licensed importer in Canada to manage risks to health and safety is sufficient for the traceability of devices when there are safety or quality issues. Persons without an MDEL that import (i.e. retailers and health care facilities) will continue to be required to verify that the foreign distributor whom they import from holds an MDEL. This amendment will more closely align Canada </w:t>
      </w:r>
      <w:r w:rsidRPr="002F663C">
        <w:rPr>
          <w:rFonts w:eastAsia="Calibri" w:cs="Times New Roman"/>
          <w:szCs w:val="18"/>
        </w:rPr>
        <w:t>with other jurisdictions and reduce the redundancy in the current licensing scheme.</w:t>
      </w:r>
    </w:p>
    <w:p w:rsidR="00420BDE" w:rsidRPr="002F663C" w:rsidP="00B16ACF" w14:paraId="05601204" w14:textId="77777777">
      <w:pPr>
        <w:spacing w:before="120" w:after="120"/>
        <w:rPr>
          <w:rFonts w:eastAsia="Calibri" w:cs="Times New Roman"/>
          <w:szCs w:val="18"/>
        </w:rPr>
      </w:pPr>
      <w:r w:rsidRPr="002F663C">
        <w:rPr>
          <w:rFonts w:eastAsia="Calibri" w:cs="Times New Roman"/>
          <w:szCs w:val="18"/>
        </w:rPr>
        <w:t>The amendments to the MDR will require all MDEL applicants to provide supplier information as part of their MDEL application and to update the supplier information once a year at the annual licence review. This will allow for more targeted and efficient compliance and enforcement actions by maintaining a line of sight on foreign distributors, who will no longer be required to hold an MDEL, if selling through an MDEL holder.</w:t>
      </w:r>
    </w:p>
    <w:p w:rsidR="00420BDE" w:rsidRPr="002F663C" w:rsidP="00B16ACF" w14:paraId="519FCF96" w14:textId="77777777">
      <w:pPr>
        <w:spacing w:before="120" w:after="120"/>
        <w:rPr>
          <w:rFonts w:eastAsia="Calibri" w:cs="Times New Roman"/>
          <w:szCs w:val="18"/>
        </w:rPr>
      </w:pPr>
      <w:r w:rsidRPr="002F663C">
        <w:rPr>
          <w:rFonts w:eastAsia="Calibri" w:cs="Times New Roman"/>
          <w:szCs w:val="18"/>
        </w:rPr>
        <w:t>To address Health Canada's compliance and enforcement observations during inspections, the amendments to the MDR will make explicit the requirement for manufacturers, importers and distributors to establish, implement and maintain all documented procedures relevant to their safety management activities. This is critical to help ensure that health and safety risks can be managed once a medical device is on the market.</w:t>
      </w:r>
    </w:p>
    <w:p w:rsidR="006C5A96" w:rsidP="006C5A96" w14:paraId="7AEB86CE" w14:textId="77777777">
      <w:pPr>
        <w:jc w:val="center"/>
        <w:rPr>
          <w:b/>
        </w:rPr>
      </w:pPr>
      <w:r w:rsidRPr="003971FF">
        <w:rPr>
          <w:b/>
        </w:rPr>
        <w:t>__________</w:t>
      </w:r>
    </w:p>
    <w:p w:rsidR="004D4D19" w:rsidP="007F38C2" w14:paraId="389F7A75" w14:textId="77777777">
      <w:pPr>
        <w:jc w:val="center"/>
        <w:rPr>
          <w:b/>
        </w:rPr>
      </w:pPr>
    </w:p>
    <w:p w:rsidR="00A1565D" w:rsidP="003971FF" w14:paraId="5929AA74"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7D5DDA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A042B1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0E67" w:rsidP="00ED54E0" w14:paraId="33913971" w14:textId="77777777">
      <w:r>
        <w:separator/>
      </w:r>
    </w:p>
  </w:footnote>
  <w:footnote w:type="continuationSeparator" w:id="1">
    <w:p w:rsidR="007C0E67" w:rsidP="00ED54E0" w14:paraId="1A8F33BA" w14:textId="77777777">
      <w:r>
        <w:continuationSeparator/>
      </w:r>
    </w:p>
  </w:footnote>
  <w:footnote w:id="2">
    <w:p w:rsidR="007F6EA2" w14:paraId="7EE9A82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295BDE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5A43DA2" w14:textId="77777777">
    <w:pPr>
      <w:pStyle w:val="Header"/>
      <w:pBdr>
        <w:bottom w:val="single" w:sz="4" w:space="1" w:color="auto"/>
      </w:pBdr>
      <w:tabs>
        <w:tab w:val="clear" w:pos="4513"/>
        <w:tab w:val="clear" w:pos="9027"/>
      </w:tabs>
      <w:jc w:val="center"/>
    </w:pPr>
  </w:p>
  <w:p w:rsidR="00DD3DD7" w:rsidRPr="00DD3DD7" w:rsidP="00DD3DD7" w14:paraId="38DD588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E9A037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8416618" w14:textId="77777777">
    <w:pPr>
      <w:pStyle w:val="Header"/>
      <w:pBdr>
        <w:bottom w:val="single" w:sz="4" w:space="1" w:color="auto"/>
      </w:pBdr>
      <w:tabs>
        <w:tab w:val="clear" w:pos="4513"/>
        <w:tab w:val="clear" w:pos="9027"/>
      </w:tabs>
      <w:jc w:val="center"/>
    </w:pPr>
    <w:bookmarkStart w:id="3" w:name="spsSymbolHeader"/>
    <w:r w:rsidRPr="00DD3DD7">
      <w:t>G/TBT/N/CAN/758/Add.1</w:t>
    </w:r>
    <w:bookmarkEnd w:id="3"/>
  </w:p>
  <w:p w:rsidR="00DD3DD7" w:rsidRPr="00DD3DD7" w:rsidP="00DD3DD7" w14:paraId="5FF69277" w14:textId="77777777">
    <w:pPr>
      <w:pStyle w:val="Header"/>
      <w:pBdr>
        <w:bottom w:val="single" w:sz="4" w:space="1" w:color="auto"/>
      </w:pBdr>
      <w:tabs>
        <w:tab w:val="clear" w:pos="4513"/>
        <w:tab w:val="clear" w:pos="9027"/>
      </w:tabs>
      <w:jc w:val="center"/>
    </w:pPr>
  </w:p>
  <w:p w:rsidR="00DD3DD7" w:rsidRPr="00DD3DD7" w:rsidP="00DD3DD7" w14:paraId="115DC0B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4B6EC0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0ED76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5FBE70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BDB606C" w14:textId="77777777">
          <w:pPr>
            <w:jc w:val="right"/>
            <w:rPr>
              <w:b/>
              <w:color w:val="FF0000"/>
              <w:szCs w:val="16"/>
            </w:rPr>
          </w:pPr>
          <w:r>
            <w:rPr>
              <w:b/>
              <w:color w:val="FF0000"/>
              <w:szCs w:val="16"/>
            </w:rPr>
            <w:t xml:space="preserve"> </w:t>
          </w:r>
        </w:p>
      </w:tc>
    </w:tr>
    <w:tr w14:paraId="72DDB11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669EE1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8DFF598" w14:textId="77777777">
          <w:pPr>
            <w:jc w:val="right"/>
            <w:rPr>
              <w:b/>
              <w:szCs w:val="16"/>
            </w:rPr>
          </w:pPr>
        </w:p>
      </w:tc>
    </w:tr>
    <w:tr w14:paraId="6769292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DE0B12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FF801BF" w14:textId="77777777">
          <w:pPr>
            <w:jc w:val="right"/>
            <w:rPr>
              <w:rFonts w:eastAsia="Calibri" w:cs="Times New Roman"/>
              <w:b/>
              <w:szCs w:val="16"/>
            </w:rPr>
          </w:pPr>
          <w:bookmarkStart w:id="4" w:name="bmkSymbols"/>
          <w:r w:rsidRPr="002F663C">
            <w:rPr>
              <w:rFonts w:eastAsia="Calibri" w:cs="Times New Roman"/>
              <w:b/>
              <w:szCs w:val="16"/>
            </w:rPr>
            <w:t>G/TBT/N/CAN/758/Add.1</w:t>
          </w:r>
          <w:bookmarkEnd w:id="4"/>
        </w:p>
        <w:p w:rsidR="00C14444" w:rsidRPr="00C14444" w:rsidP="00C14444" w14:paraId="1867F686" w14:textId="77777777">
          <w:pPr>
            <w:jc w:val="center"/>
            <w:rPr>
              <w:szCs w:val="16"/>
            </w:rPr>
          </w:pPr>
        </w:p>
      </w:tc>
    </w:tr>
    <w:tr w14:paraId="57EEC27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85C9908" w14:textId="77777777"/>
      </w:tc>
      <w:tc>
        <w:tcPr>
          <w:tcW w:w="5448" w:type="dxa"/>
          <w:gridSpan w:val="2"/>
          <w:shd w:val="clear" w:color="auto" w:fill="FFFFFF"/>
          <w:tcMar>
            <w:left w:w="108" w:type="dxa"/>
            <w:right w:w="108" w:type="dxa"/>
          </w:tcMar>
          <w:vAlign w:val="center"/>
        </w:tcPr>
        <w:p w:rsidR="00ED54E0" w:rsidRPr="00182B84" w:rsidP="00425DC5" w14:paraId="236795E9" w14:textId="77777777">
          <w:pPr>
            <w:jc w:val="right"/>
            <w:rPr>
              <w:szCs w:val="16"/>
            </w:rPr>
          </w:pPr>
          <w:bookmarkStart w:id="5" w:name="bmkDate"/>
          <w:r w:rsidRPr="00182B84">
            <w:rPr>
              <w:szCs w:val="16"/>
            </w:rPr>
            <w:t>13 July 2026</w:t>
          </w:r>
          <w:bookmarkEnd w:id="5"/>
        </w:p>
      </w:tc>
    </w:tr>
    <w:tr w14:paraId="221E487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DA8341C" w14:textId="77777777">
          <w:pPr>
            <w:jc w:val="left"/>
            <w:rPr>
              <w:b/>
            </w:rPr>
          </w:pPr>
          <w:bookmarkStart w:id="6" w:name="bmkSerial"/>
          <w:r>
            <w:rPr>
              <w:rFonts w:ascii="Verdana" w:eastAsia="Verdana" w:hAnsi="Verdana" w:cs="Verdana"/>
              <w:b w:val="0"/>
              <w:color w:val="FF0000"/>
              <w:sz w:val="18"/>
            </w:rPr>
            <w:t>(26-5015)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8E41C4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5C649B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ECF6B5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6563F4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030660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878788">
    <w:abstractNumId w:val="9"/>
  </w:num>
  <w:num w:numId="2" w16cid:durableId="1970745616">
    <w:abstractNumId w:val="7"/>
  </w:num>
  <w:num w:numId="3" w16cid:durableId="1744638041">
    <w:abstractNumId w:val="6"/>
  </w:num>
  <w:num w:numId="4" w16cid:durableId="599608213">
    <w:abstractNumId w:val="5"/>
  </w:num>
  <w:num w:numId="5" w16cid:durableId="586304415">
    <w:abstractNumId w:val="4"/>
  </w:num>
  <w:num w:numId="6" w16cid:durableId="395864252">
    <w:abstractNumId w:val="12"/>
  </w:num>
  <w:num w:numId="7" w16cid:durableId="1549486091">
    <w:abstractNumId w:val="11"/>
  </w:num>
  <w:num w:numId="8" w16cid:durableId="1229727031">
    <w:abstractNumId w:val="10"/>
  </w:num>
  <w:num w:numId="9" w16cid:durableId="1421482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3634522">
    <w:abstractNumId w:val="13"/>
  </w:num>
  <w:num w:numId="11" w16cid:durableId="1243568029">
    <w:abstractNumId w:val="8"/>
  </w:num>
  <w:num w:numId="12" w16cid:durableId="1756050495">
    <w:abstractNumId w:val="3"/>
  </w:num>
  <w:num w:numId="13" w16cid:durableId="881790682">
    <w:abstractNumId w:val="2"/>
  </w:num>
  <w:num w:numId="14" w16cid:durableId="1736734062">
    <w:abstractNumId w:val="1"/>
  </w:num>
  <w:num w:numId="15" w16cid:durableId="896282567">
    <w:abstractNumId w:val="0"/>
  </w:num>
  <w:num w:numId="16" w16cid:durableId="140695755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B10"/>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0BDE"/>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27436"/>
    <w:rsid w:val="006337D8"/>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0E67"/>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C3A4D"/>
    <w:rsid w:val="009F0103"/>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85120"/>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75AD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anada.ca/en/health-canada/services/drugs-health-products/compliance-enforcement/establishment-licences/forms/medical-device-establishment-licence-application-form-instructions-0292.html" TargetMode="External" /><Relationship Id="rId11" Type="http://schemas.openxmlformats.org/officeDocument/2006/relationships/hyperlink" Target="https://www.canada.ca/en/health-canada/services/drugs-health-products/compliance-enforcement/information-health-product/medical-devices/guidance-risk-classification-medical-device-observations-0079.html" TargetMode="External" /><Relationship Id="rId12" Type="http://schemas.openxmlformats.org/officeDocument/2006/relationships/hyperlink" Target="https://www.canada.ca/en/health-canada/services/drugs-health-products/compliance-enforcement/establishment-licences/directives-guidance-documents-policies/guidance-medical-device-establishment-licensing-0016.html" TargetMode="External" /><Relationship Id="rId13" Type="http://schemas.openxmlformats.org/officeDocument/2006/relationships/hyperlink" Target="https://www.canada.ca/en/health-canada/services/drugs-health-products/compliance-enforcement/information-health-product/medical-devices/inspects-medical-device-establishments-0064.html" TargetMode="External" /><Relationship Id="rId14" Type="http://schemas.openxmlformats.org/officeDocument/2006/relationships/hyperlink" Target="https://can01.safelinks.protection.outlook.com/?url=https%3A%2F%2Feping.wto.org%2Fen%2FSearch%2FIndex%3FcountryIds%3DC124%26documentSymbol%3DTBT%26freeText%3Dmedical%2520devices%2520regulations%26distributionDateTo%3D2025-12-01%26viewData%3DG%252FTBT%252FN%252FCAN%252F758&amp;data=05%7C02%7Ccameron.wasson%40hc-sc.gc.ca%7C73a67bfa4fba4eb799a208ded92f9ff7%7C42fd9015de4d4223a368baeacab48927%7C0%7C0%7C639186996184215955%7CUnknown%7CTWFpbGZsb3d8eyJFbXB0eU1hcGkiOnRydWUsIlYiOiIwLjAuMDAwMCIsIlAiOiJXaW4zMiIsIkFOIjoiTWFpbCIsIldUIjoyfQ%3D%3D%7C0%7C%7C%7C&amp;sdata=V4a6Gxr0RvBrjjxarpjT%2BPDxsMwEgQrkvvUwS8Pj%2B3A%3D&amp;reserved=0" TargetMode="External" /><Relationship Id="rId15" Type="http://schemas.openxmlformats.org/officeDocument/2006/relationships/hyperlink" Target="https://www.canada.ca/en/services/health/publications/health-system-services/report-red-tape-reduction.html"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gazette.gc.ca/rp-pr/p2/2026/2026-06-17/html/sor-dors110-eng.html" TargetMode="External" /><Relationship Id="rId8" Type="http://schemas.openxmlformats.org/officeDocument/2006/relationships/hyperlink" Target="https://gazette.gc.ca/rp-pr/p2/2026/2026-06-17/html/sor-dors110-fra.html" TargetMode="External" /><Relationship Id="rId9" Type="http://schemas.openxmlformats.org/officeDocument/2006/relationships/hyperlink" Target="https://gazette.gc.ca/rp-pr/p2/2026/2026-06-17/pdf/g2-1601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07E05C8-F9B1-400B-BAA0-9DF99347709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782</Words>
  <Characters>5817</Characters>
  <Application>Microsoft Office Word</Application>
  <DocSecurity>0</DocSecurity>
  <Lines>121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2026-07-13T10:41:00Z</dcterms:created>
  <dcterms:modified xsi:type="dcterms:W3CDTF">2026-07-13T12:14:00Z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