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442410D" w14:textId="77777777">
      <w:pPr>
        <w:pStyle w:val="Title"/>
        <w:rPr>
          <w:caps w:val="0"/>
          <w:kern w:val="0"/>
        </w:rPr>
      </w:pPr>
      <w:r w:rsidRPr="002F6A28">
        <w:rPr>
          <w:caps w:val="0"/>
          <w:kern w:val="0"/>
        </w:rPr>
        <w:t>NOTIFICATION</w:t>
      </w:r>
    </w:p>
    <w:p w:rsidR="009239F7" w:rsidRPr="002F6A28" w:rsidP="002F6A28" w14:paraId="0CC6825E" w14:textId="77777777">
      <w:pPr>
        <w:jc w:val="center"/>
      </w:pPr>
      <w:r w:rsidRPr="002F6A28">
        <w:t>The following notification is being circulated in accordance with Article 10.6</w:t>
      </w:r>
    </w:p>
    <w:p w:rsidR="009239F7" w:rsidRPr="002F6A28" w:rsidP="002F6A28" w14:paraId="3684172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58C37A1" w14:textId="77777777" w:rsidTr="00DB13FE">
        <w:tblPrEx>
          <w:tblW w:w="5000" w:type="pct"/>
          <w:tblLayout w:type="fixed"/>
          <w:tblLook w:val="0000"/>
        </w:tblPrEx>
        <w:tc>
          <w:tcPr>
            <w:tcW w:w="607" w:type="dxa"/>
            <w:tcBorders>
              <w:top w:val="double" w:sz="4" w:space="0" w:color="auto"/>
            </w:tcBorders>
          </w:tcPr>
          <w:p w:rsidR="00F85C99" w:rsidRPr="002F6A28" w:rsidP="002F6A28" w14:paraId="047A210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C527AF6"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634412A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3765549" w14:textId="77777777" w:rsidTr="00DB13FE">
        <w:tblPrEx>
          <w:tblW w:w="5000" w:type="pct"/>
          <w:tblLayout w:type="fixed"/>
          <w:tblLook w:val="0000"/>
        </w:tblPrEx>
        <w:tc>
          <w:tcPr>
            <w:tcW w:w="607" w:type="dxa"/>
          </w:tcPr>
          <w:p w:rsidR="00F85C99" w:rsidRPr="002F6A28" w:rsidP="002F6A28" w14:paraId="2F3F06B6" w14:textId="77777777">
            <w:pPr>
              <w:spacing w:before="120" w:after="120"/>
              <w:jc w:val="left"/>
            </w:pPr>
            <w:r w:rsidRPr="002F6A28">
              <w:rPr>
                <w:b/>
              </w:rPr>
              <w:t>2.</w:t>
            </w:r>
          </w:p>
        </w:tc>
        <w:tc>
          <w:tcPr>
            <w:tcW w:w="8373" w:type="dxa"/>
          </w:tcPr>
          <w:p w:rsidR="00F85C99" w:rsidRPr="002F6A28" w:rsidP="000C3B6C" w14:paraId="1FF14B30" w14:textId="77777777">
            <w:pPr>
              <w:spacing w:before="120" w:after="120"/>
            </w:pPr>
            <w:r w:rsidRPr="002F6A28">
              <w:rPr>
                <w:b/>
              </w:rPr>
              <w:t>Agency responsible:</w:t>
            </w:r>
            <w:r w:rsidRPr="00C379C8" w:rsidR="00EE3A11">
              <w:t xml:space="preserve"> </w:t>
            </w:r>
          </w:p>
          <w:p w:rsidR="00EE3A11" w:rsidRPr="00C379C8" w:rsidP="000C3B6C" w14:paraId="06DE2677" w14:textId="77777777">
            <w:pPr>
              <w:spacing w:after="120"/>
            </w:pPr>
            <w:r w:rsidRPr="00C379C8">
              <w:t>Pipeline and Hazardous Materials Safety Administration (PHMSA), Department of Transportation (DOT) [2333]</w:t>
            </w:r>
          </w:p>
        </w:tc>
      </w:tr>
      <w:tr w14:paraId="5FBF6148" w14:textId="77777777" w:rsidTr="00DB13FE">
        <w:tblPrEx>
          <w:tblW w:w="5000" w:type="pct"/>
          <w:tblLayout w:type="fixed"/>
          <w:tblLook w:val="0000"/>
        </w:tblPrEx>
        <w:tc>
          <w:tcPr>
            <w:tcW w:w="607" w:type="dxa"/>
          </w:tcPr>
          <w:p w:rsidR="00F85C99" w:rsidRPr="002F6A28" w:rsidP="002F6A28" w14:paraId="3DB291E2" w14:textId="77777777">
            <w:pPr>
              <w:spacing w:before="120" w:after="120"/>
              <w:jc w:val="left"/>
              <w:rPr>
                <w:b/>
              </w:rPr>
            </w:pPr>
            <w:r w:rsidRPr="002F6A28">
              <w:rPr>
                <w:b/>
              </w:rPr>
              <w:t>3.</w:t>
            </w:r>
          </w:p>
        </w:tc>
        <w:tc>
          <w:tcPr>
            <w:tcW w:w="8373" w:type="dxa"/>
          </w:tcPr>
          <w:p w:rsidR="00F85C99" w:rsidRPr="0058336F" w:rsidP="002F6A28" w14:paraId="0693661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E534CFC" w14:textId="77777777" w:rsidTr="00DB13FE">
        <w:tblPrEx>
          <w:tblW w:w="5000" w:type="pct"/>
          <w:tblLayout w:type="fixed"/>
          <w:tblLook w:val="0000"/>
        </w:tblPrEx>
        <w:tc>
          <w:tcPr>
            <w:tcW w:w="607" w:type="dxa"/>
          </w:tcPr>
          <w:p w:rsidR="00F85C99" w:rsidRPr="002F6A28" w:rsidP="002F6A28" w14:paraId="4C03EF75" w14:textId="77777777">
            <w:pPr>
              <w:spacing w:before="120" w:after="120"/>
              <w:jc w:val="left"/>
            </w:pPr>
            <w:r w:rsidRPr="002F6A28">
              <w:rPr>
                <w:b/>
              </w:rPr>
              <w:t>4.</w:t>
            </w:r>
          </w:p>
        </w:tc>
        <w:tc>
          <w:tcPr>
            <w:tcW w:w="8373" w:type="dxa"/>
          </w:tcPr>
          <w:p w:rsidR="00F85C99" w:rsidRPr="002F6A28" w:rsidP="002F6A28" w14:paraId="4E062F5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Pipeline safety; Accident and disaster control (ICS code(s): 13.200); Pipeline components and pipelines (ICS code(s): 23.040)</w:t>
            </w:r>
          </w:p>
        </w:tc>
      </w:tr>
      <w:tr w14:paraId="3601B17C" w14:textId="77777777" w:rsidTr="00DB13FE">
        <w:tblPrEx>
          <w:tblW w:w="5000" w:type="pct"/>
          <w:tblLayout w:type="fixed"/>
          <w:tblLook w:val="0000"/>
        </w:tblPrEx>
        <w:tc>
          <w:tcPr>
            <w:tcW w:w="607" w:type="dxa"/>
          </w:tcPr>
          <w:p w:rsidR="00F85C99" w:rsidRPr="002F6A28" w:rsidP="002F6A28" w14:paraId="3CBD4FB7" w14:textId="77777777">
            <w:pPr>
              <w:spacing w:before="120" w:after="120"/>
              <w:jc w:val="left"/>
            </w:pPr>
            <w:r w:rsidRPr="002F6A28">
              <w:rPr>
                <w:b/>
              </w:rPr>
              <w:t>5.</w:t>
            </w:r>
          </w:p>
        </w:tc>
        <w:tc>
          <w:tcPr>
            <w:tcW w:w="8373" w:type="dxa"/>
          </w:tcPr>
          <w:p w:rsidR="00F85C99" w:rsidP="002F6A28" w14:paraId="45A7F61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Pipeline Safety: Repair Criteria for Hazardous Liquid and Gas Transmission Pipelines; (35 page(s), in English)</w:t>
            </w:r>
          </w:p>
          <w:p w:rsidR="000C3B6C" w:rsidRPr="000C3B6C" w:rsidP="002F6A28" w14:paraId="5798F60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D3B45" w:rsidRPr="00CE6C29" w:rsidP="002F6A28" w14:paraId="22230EF6"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https://members.wto.org/crnattachments/2026/TBT/USA/26_03548_00_e.pdf</w:t>
              </w:r>
            </w:hyperlink>
          </w:p>
        </w:tc>
      </w:tr>
      <w:tr w14:paraId="26EABAB0" w14:textId="77777777" w:rsidTr="00DB13FE">
        <w:tblPrEx>
          <w:tblW w:w="5000" w:type="pct"/>
          <w:tblLayout w:type="fixed"/>
          <w:tblLook w:val="0000"/>
        </w:tblPrEx>
        <w:tc>
          <w:tcPr>
            <w:tcW w:w="607" w:type="dxa"/>
          </w:tcPr>
          <w:p w:rsidR="00F85C99" w:rsidRPr="002F6A28" w:rsidP="002F6A28" w14:paraId="7A02ABC6" w14:textId="77777777">
            <w:pPr>
              <w:spacing w:before="120" w:after="120"/>
              <w:jc w:val="left"/>
              <w:rPr>
                <w:b/>
              </w:rPr>
            </w:pPr>
            <w:r w:rsidRPr="002F6A28">
              <w:rPr>
                <w:b/>
              </w:rPr>
              <w:t>6.</w:t>
            </w:r>
          </w:p>
        </w:tc>
        <w:tc>
          <w:tcPr>
            <w:tcW w:w="8373" w:type="dxa"/>
          </w:tcPr>
          <w:p w:rsidR="00F85C99" w:rsidRPr="002F6A28" w:rsidP="002F6A28" w14:paraId="5384C0F1" w14:textId="77777777">
            <w:pPr>
              <w:spacing w:before="120" w:after="120"/>
              <w:rPr>
                <w:b/>
              </w:rPr>
            </w:pPr>
            <w:r w:rsidRPr="002F6A28">
              <w:rPr>
                <w:b/>
              </w:rPr>
              <w:t>Description of content:</w:t>
            </w:r>
            <w:r w:rsidRPr="00C379C8" w:rsidR="00FE448B">
              <w:t xml:space="preserve"> Notice of proposed rulemaking - The Pipeline and Hazardous Materials Safety Administration (PHMSA) proposes to modernize and to clarify the anomaly response criteria in the Federal pipeline safety regulations for gas transmission and hazardous liquid pipelines. Driven by twenty years of technological development, modern engineering concepts allow operators to identify, schedule, and remediate pipeline anomalies more effectively and in a less costly manner. PHMSA proposes incorporating these improved safety practices into its regulations by finalizing certain safety improvements advanced in recent rulemakings for gas transmission pipelines and extending those changes to hazardous liquid pipelines. In addition, PHMSA proposes certain non-substantive revisions to its gas and hazardous liquid repair regulations to improve compliance.</w:t>
            </w:r>
          </w:p>
        </w:tc>
      </w:tr>
      <w:tr w14:paraId="6092B979" w14:textId="77777777" w:rsidTr="00DB13FE">
        <w:tblPrEx>
          <w:tblW w:w="5000" w:type="pct"/>
          <w:tblLayout w:type="fixed"/>
          <w:tblLook w:val="0000"/>
        </w:tblPrEx>
        <w:tc>
          <w:tcPr>
            <w:tcW w:w="607" w:type="dxa"/>
          </w:tcPr>
          <w:p w:rsidR="00F85C99" w:rsidRPr="002F6A28" w:rsidP="002F6A28" w14:paraId="1608C350" w14:textId="77777777">
            <w:pPr>
              <w:spacing w:before="120" w:after="120"/>
              <w:jc w:val="left"/>
              <w:rPr>
                <w:b/>
              </w:rPr>
            </w:pPr>
            <w:r w:rsidRPr="002F6A28">
              <w:rPr>
                <w:b/>
              </w:rPr>
              <w:t>7.</w:t>
            </w:r>
          </w:p>
        </w:tc>
        <w:tc>
          <w:tcPr>
            <w:tcW w:w="8373" w:type="dxa"/>
          </w:tcPr>
          <w:p w:rsidR="00F85C99" w:rsidRPr="002F6A28" w:rsidP="002F6A28" w14:paraId="69399194"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Cost saving and productivity enhancement</w:t>
            </w:r>
          </w:p>
        </w:tc>
      </w:tr>
      <w:tr w14:paraId="487169DC" w14:textId="77777777" w:rsidTr="00DB13FE">
        <w:tblPrEx>
          <w:tblW w:w="5000" w:type="pct"/>
          <w:tblLayout w:type="fixed"/>
          <w:tblLook w:val="0000"/>
        </w:tblPrEx>
        <w:tc>
          <w:tcPr>
            <w:tcW w:w="607" w:type="dxa"/>
          </w:tcPr>
          <w:p w:rsidR="00F85C99" w:rsidRPr="002F6A28" w:rsidP="009E75ED" w14:paraId="77E24792" w14:textId="77777777">
            <w:pPr>
              <w:spacing w:before="120" w:after="120"/>
              <w:jc w:val="left"/>
              <w:rPr>
                <w:b/>
              </w:rPr>
            </w:pPr>
            <w:r w:rsidRPr="002F6A28">
              <w:rPr>
                <w:b/>
              </w:rPr>
              <w:t>8.</w:t>
            </w:r>
          </w:p>
        </w:tc>
        <w:tc>
          <w:tcPr>
            <w:tcW w:w="8373" w:type="dxa"/>
          </w:tcPr>
          <w:p w:rsidR="000C3B6C" w:rsidRPr="00EC00D2" w:rsidP="007F13E8" w14:paraId="3EE0AC77" w14:textId="77777777">
            <w:pPr>
              <w:spacing w:before="120" w:after="120"/>
              <w:rPr>
                <w:bCs/>
              </w:rPr>
            </w:pPr>
            <w:r w:rsidRPr="002F6A28">
              <w:rPr>
                <w:b/>
              </w:rPr>
              <w:t>Relevant documents:</w:t>
            </w:r>
            <w:r w:rsidRPr="002F6A28" w:rsidR="00EE3A11">
              <w:t xml:space="preserve"> </w:t>
            </w:r>
          </w:p>
          <w:p w:rsidR="00EE3A11" w:rsidRPr="002F6A28" w:rsidP="007F13E8" w14:paraId="4C4537F5" w14:textId="77777777">
            <w:pPr>
              <w:spacing w:before="120" w:after="120"/>
            </w:pPr>
            <w:r w:rsidRPr="002F6A28">
              <w:t xml:space="preserve">91 Federal Register (FR) 42272, 8 July 2026; </w:t>
            </w:r>
            <w:hyperlink r:id="rId7" w:history="1">
              <w:r w:rsidRPr="002F6A28">
                <w:rPr>
                  <w:color w:val="0000FF"/>
                  <w:u w:val="single"/>
                </w:rPr>
                <w:t>Title 49</w:t>
              </w:r>
            </w:hyperlink>
            <w:r w:rsidRPr="002F6A28">
              <w:t xml:space="preserve"> Code of Federal Regulations (CFR) Parts </w:t>
            </w:r>
            <w:hyperlink r:id="rId8" w:history="1">
              <w:r w:rsidRPr="002F6A28">
                <w:rPr>
                  <w:color w:val="0000FF"/>
                  <w:u w:val="single"/>
                </w:rPr>
                <w:t>192</w:t>
              </w:r>
            </w:hyperlink>
            <w:r w:rsidRPr="002F6A28">
              <w:t xml:space="preserve"> and </w:t>
            </w:r>
            <w:hyperlink r:id="rId9" w:history="1">
              <w:r w:rsidRPr="002F6A28">
                <w:rPr>
                  <w:color w:val="0000FF"/>
                  <w:u w:val="single"/>
                </w:rPr>
                <w:t>195</w:t>
              </w:r>
            </w:hyperlink>
            <w:r w:rsidRPr="002F6A28">
              <w:t>:</w:t>
            </w:r>
          </w:p>
          <w:p w:rsidR="00EE3A11" w:rsidRPr="002F6A28" w:rsidP="007F13E8" w14:paraId="16808CF8" w14:textId="77777777">
            <w:pPr>
              <w:spacing w:before="120" w:after="120"/>
            </w:pPr>
            <w:hyperlink r:id="rId10" w:history="1">
              <w:r w:rsidRPr="002F6A28">
                <w:rPr>
                  <w:color w:val="0000FF"/>
                  <w:u w:val="single"/>
                </w:rPr>
                <w:t>https://www.govinfo.gov/content/pkg/FR-2026-07-08/html/2026-13805.htm</w:t>
              </w:r>
            </w:hyperlink>
          </w:p>
          <w:p w:rsidR="00EE3A11" w:rsidRPr="002F6A28" w:rsidP="007F13E8" w14:paraId="5CACCD33" w14:textId="77777777">
            <w:pPr>
              <w:spacing w:before="120" w:after="120"/>
            </w:pPr>
            <w:hyperlink r:id="rId11" w:history="1">
              <w:r w:rsidRPr="002F6A28">
                <w:rPr>
                  <w:color w:val="0000FF"/>
                  <w:u w:val="single"/>
                </w:rPr>
                <w:t>https://www.govinfo.gov/content/pkg/FR-2026-07-08/pdf/2026-13805.pdf</w:t>
              </w:r>
            </w:hyperlink>
          </w:p>
          <w:p w:rsidR="00EE3A11" w:rsidRPr="002F6A28" w:rsidP="007F13E8" w14:paraId="6C4905D3" w14:textId="77777777">
            <w:pPr>
              <w:spacing w:before="120" w:after="120"/>
            </w:pPr>
            <w:r w:rsidRPr="002F6A28">
              <w:t xml:space="preserve">This notice of proposed rulemaking is identified by Docket Number PHMSA-2025-0019. The Docket Folder is available from Regulations.gov at </w:t>
            </w:r>
            <w:hyperlink r:id="rId12" w:history="1">
              <w:r w:rsidRPr="002F6A28">
                <w:rPr>
                  <w:color w:val="0000FF"/>
                  <w:u w:val="single"/>
                </w:rPr>
                <w:t>https://www.regulations.gov/docket/PHMSA-2025-0019/document</w:t>
              </w:r>
            </w:hyperlink>
            <w:r w:rsidRPr="002F6A28">
              <w:t xml:space="preserve"> and provides access to primary and supporting documents as well as comments received. Documents are also accessible from </w:t>
            </w:r>
            <w:hyperlink r:id="rId13" w:history="1">
              <w:r w:rsidRPr="002F6A28">
                <w:rPr>
                  <w:color w:val="0000FF"/>
                  <w:u w:val="single"/>
                </w:rPr>
                <w:t>Regulations.gov</w:t>
              </w:r>
            </w:hyperlink>
            <w:r w:rsidRPr="002F6A28">
              <w:t xml:space="preserve"> by searching the Docket Number.</w:t>
            </w:r>
          </w:p>
        </w:tc>
      </w:tr>
      <w:tr w14:paraId="4ADAC02C" w14:textId="77777777" w:rsidTr="00DB13FE">
        <w:tblPrEx>
          <w:tblW w:w="5000" w:type="pct"/>
          <w:tblLayout w:type="fixed"/>
          <w:tblLook w:val="0000"/>
        </w:tblPrEx>
        <w:tc>
          <w:tcPr>
            <w:tcW w:w="607" w:type="dxa"/>
          </w:tcPr>
          <w:p w:rsidR="00EE3A11" w:rsidRPr="002F6A28" w:rsidP="002F6A28" w14:paraId="41F700A7" w14:textId="77777777">
            <w:pPr>
              <w:spacing w:before="120" w:after="120"/>
              <w:jc w:val="left"/>
              <w:rPr>
                <w:b/>
              </w:rPr>
            </w:pPr>
            <w:r w:rsidRPr="002F6A28">
              <w:rPr>
                <w:b/>
              </w:rPr>
              <w:t>9.</w:t>
            </w:r>
          </w:p>
        </w:tc>
        <w:tc>
          <w:tcPr>
            <w:tcW w:w="8373" w:type="dxa"/>
          </w:tcPr>
          <w:p w:rsidR="00EE3A11" w:rsidRPr="002F6A28" w:rsidP="008953C4" w14:paraId="3BE0D771" w14:textId="77777777">
            <w:pPr>
              <w:spacing w:before="120" w:after="120"/>
            </w:pPr>
            <w:r w:rsidRPr="002F6A28">
              <w:rPr>
                <w:b/>
              </w:rPr>
              <w:t>Proposed date of adoption:</w:t>
            </w:r>
            <w:r w:rsidRPr="00C379C8">
              <w:t xml:space="preserve"> To be determined</w:t>
            </w:r>
          </w:p>
          <w:p w:rsidR="00EE3A11" w:rsidRPr="002F6A28" w:rsidP="008953C4" w14:paraId="3BB5DC8C" w14:textId="77777777">
            <w:pPr>
              <w:spacing w:after="120"/>
            </w:pPr>
            <w:r w:rsidRPr="002F6A28">
              <w:rPr>
                <w:b/>
              </w:rPr>
              <w:t>Proposed date of entry into force:</w:t>
            </w:r>
            <w:r w:rsidRPr="00C379C8">
              <w:t xml:space="preserve"> To be determined</w:t>
            </w:r>
          </w:p>
        </w:tc>
      </w:tr>
      <w:tr w14:paraId="14E5B46B" w14:textId="77777777" w:rsidTr="00DB13FE">
        <w:tblPrEx>
          <w:tblW w:w="5000" w:type="pct"/>
          <w:tblLayout w:type="fixed"/>
          <w:tblLook w:val="0000"/>
        </w:tblPrEx>
        <w:tc>
          <w:tcPr>
            <w:tcW w:w="607" w:type="dxa"/>
            <w:tcBorders>
              <w:bottom w:val="double" w:sz="4" w:space="0" w:color="auto"/>
            </w:tcBorders>
          </w:tcPr>
          <w:p w:rsidR="00F85C99" w:rsidRPr="002F6A28" w:rsidP="002F6A28" w14:paraId="450B459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C7A1B2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371A5AD" w14:textId="77777777">
            <w:pPr>
              <w:spacing w:before="120" w:after="120"/>
              <w:rPr>
                <w:bCs/>
              </w:rPr>
            </w:pPr>
            <w:r w:rsidRPr="002F6A28">
              <w:rPr>
                <w:b/>
              </w:rPr>
              <w:t>Final date for comments:</w:t>
            </w:r>
            <w:r w:rsidRPr="00C379C8" w:rsidR="00EE3A11">
              <w:t xml:space="preserve"> 8 September 2026</w:t>
            </w:r>
          </w:p>
          <w:p w:rsidR="000C3B6C" w:rsidRPr="00E3324D" w:rsidP="000C3B6C" w14:paraId="49EDC240"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4141FA60"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4" w:history="1">
              <w:r w:rsidRPr="006A4C49">
                <w:rPr>
                  <w:color w:val="0000FF"/>
                  <w:u w:val="single"/>
                </w:rPr>
                <w:t>USA TBT Enquiry Point</w:t>
              </w:r>
            </w:hyperlink>
            <w:r w:rsidRPr="006A4C49">
              <w:t xml:space="preserve"> by or before </w:t>
            </w:r>
            <w:hyperlink r:id="rId15" w:history="1">
              <w:r w:rsidRPr="006A4C49">
                <w:rPr>
                  <w:color w:val="0000FF"/>
                  <w:u w:val="single"/>
                </w:rPr>
                <w:t>4pm</w:t>
              </w:r>
            </w:hyperlink>
            <w:r w:rsidRPr="006A4C49">
              <w:t xml:space="preserve"> </w:t>
            </w:r>
            <w:hyperlink r:id="rId16" w:history="1">
              <w:r w:rsidRPr="006A4C49">
                <w:rPr>
                  <w:color w:val="0000FF"/>
                  <w:u w:val="single"/>
                </w:rPr>
                <w:t>Eastern Time</w:t>
              </w:r>
            </w:hyperlink>
            <w:r w:rsidRPr="006A4C49">
              <w:t xml:space="preserve"> on 8 September 2026. Comments received by the USA TBT Enquiry Point from WTO Members and their stakeholders will be shared with PHMSA and submitted to the </w:t>
            </w:r>
            <w:hyperlink r:id="rId12" w:history="1">
              <w:r w:rsidRPr="006A4C49">
                <w:rPr>
                  <w:color w:val="0000FF"/>
                  <w:u w:val="single"/>
                </w:rPr>
                <w:t>Docket</w:t>
              </w:r>
            </w:hyperlink>
            <w:r w:rsidRPr="006A4C49">
              <w:t xml:space="preserve"> if received within the comment period.</w:t>
            </w:r>
          </w:p>
          <w:p w:rsidR="000C3B6C" w:rsidRPr="002F6A28" w:rsidP="000C3B6C" w14:paraId="1B2F08A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66B7EA0" w14:textId="77777777">
            <w:pPr>
              <w:spacing w:after="120"/>
            </w:pPr>
            <w:r w:rsidRPr="00CE6C29">
              <w:t xml:space="preserve">Please submit comments to: USA WTO TBT Enquiry Point, Email: </w:t>
            </w:r>
            <w:hyperlink r:id="rId14" w:history="1">
              <w:r w:rsidRPr="00CE6C29">
                <w:rPr>
                  <w:color w:val="0000FF"/>
                  <w:u w:val="single"/>
                </w:rPr>
                <w:t>usatbtep@nist.gov</w:t>
              </w:r>
            </w:hyperlink>
          </w:p>
        </w:tc>
      </w:tr>
    </w:tbl>
    <w:p w:rsidR="00EE3A11" w:rsidRPr="002F6A28" w:rsidP="00887259" w14:paraId="4B471CC0" w14:textId="77777777">
      <w:pPr>
        <w:jc w:val="center"/>
      </w:pPr>
    </w:p>
    <w:sectPr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FBE78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698D3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B27610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46AB61" w14:textId="77777777">
    <w:pPr>
      <w:pStyle w:val="Header"/>
      <w:pBdr>
        <w:bottom w:val="single" w:sz="4" w:space="1" w:color="auto"/>
      </w:pBdr>
      <w:tabs>
        <w:tab w:val="clear" w:pos="4513"/>
        <w:tab w:val="clear" w:pos="9027"/>
      </w:tabs>
      <w:jc w:val="center"/>
    </w:pPr>
    <w:r w:rsidRPr="002F6A28">
      <w:t>tbtSymbol</w:t>
    </w:r>
  </w:p>
  <w:p w:rsidR="009239F7" w:rsidRPr="002F6A28" w:rsidP="009239F7" w14:paraId="66297736" w14:textId="77777777">
    <w:pPr>
      <w:pStyle w:val="Header"/>
      <w:pBdr>
        <w:bottom w:val="single" w:sz="4" w:space="1" w:color="auto"/>
      </w:pBdr>
      <w:tabs>
        <w:tab w:val="clear" w:pos="4513"/>
        <w:tab w:val="clear" w:pos="9027"/>
      </w:tabs>
      <w:jc w:val="center"/>
    </w:pPr>
  </w:p>
  <w:p w:rsidR="009239F7" w:rsidRPr="002F6A28" w:rsidP="009239F7" w14:paraId="5FCF3DB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C7E786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F39086" w14:textId="77777777">
    <w:pPr>
      <w:pStyle w:val="Header"/>
      <w:pBdr>
        <w:bottom w:val="single" w:sz="4" w:space="1" w:color="auto"/>
      </w:pBdr>
      <w:tabs>
        <w:tab w:val="clear" w:pos="4513"/>
        <w:tab w:val="clear" w:pos="9027"/>
      </w:tabs>
      <w:jc w:val="center"/>
    </w:pPr>
    <w:bookmarkStart w:id="0" w:name="spsSymbolHeader"/>
    <w:r w:rsidRPr="002F6A28">
      <w:t>G/TBT/N/USA/2300</w:t>
    </w:r>
    <w:bookmarkEnd w:id="0"/>
  </w:p>
  <w:p w:rsidR="009239F7" w:rsidRPr="002F6A28" w:rsidP="009239F7" w14:paraId="68FC2C16" w14:textId="77777777">
    <w:pPr>
      <w:pStyle w:val="Header"/>
      <w:pBdr>
        <w:bottom w:val="single" w:sz="4" w:space="1" w:color="auto"/>
      </w:pBdr>
      <w:tabs>
        <w:tab w:val="clear" w:pos="4513"/>
        <w:tab w:val="clear" w:pos="9027"/>
      </w:tabs>
      <w:jc w:val="center"/>
    </w:pPr>
  </w:p>
  <w:p w:rsidR="009239F7" w:rsidRPr="002F6A28" w:rsidP="009239F7" w14:paraId="2D3425C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49B133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5DF71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7695BA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FEEC08E" w14:textId="77777777">
          <w:pPr>
            <w:jc w:val="right"/>
            <w:rPr>
              <w:b/>
              <w:color w:val="FF0000"/>
              <w:szCs w:val="16"/>
            </w:rPr>
          </w:pPr>
        </w:p>
      </w:tc>
    </w:tr>
    <w:bookmarkEnd w:id="1"/>
    <w:tr w14:paraId="4B1D555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0DC9EE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AC88EDC" w14:textId="77777777">
          <w:pPr>
            <w:jc w:val="right"/>
            <w:rPr>
              <w:b/>
              <w:szCs w:val="16"/>
            </w:rPr>
          </w:pPr>
        </w:p>
      </w:tc>
    </w:tr>
    <w:tr w14:paraId="4534888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F5F555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7593AE0" w14:textId="77777777">
          <w:pPr>
            <w:jc w:val="right"/>
            <w:rPr>
              <w:b/>
              <w:szCs w:val="16"/>
            </w:rPr>
          </w:pPr>
          <w:bookmarkStart w:id="2" w:name="bmkSymbols"/>
          <w:r w:rsidRPr="002F6A28">
            <w:rPr>
              <w:b/>
              <w:szCs w:val="16"/>
            </w:rPr>
            <w:t>G/TBT/N/USA/2300</w:t>
          </w:r>
          <w:bookmarkEnd w:id="2"/>
        </w:p>
      </w:tc>
    </w:tr>
    <w:tr w14:paraId="6C5EF44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B668521" w14:textId="77777777"/>
      </w:tc>
      <w:tc>
        <w:tcPr>
          <w:tcW w:w="5448" w:type="dxa"/>
          <w:gridSpan w:val="2"/>
          <w:shd w:val="clear" w:color="auto" w:fill="FFFFFF"/>
          <w:tcMar>
            <w:left w:w="108" w:type="dxa"/>
            <w:right w:w="108" w:type="dxa"/>
          </w:tcMar>
          <w:vAlign w:val="center"/>
        </w:tcPr>
        <w:p w:rsidR="00ED54E0" w:rsidRPr="009239F7" w:rsidP="00B801E9" w14:paraId="770DED8B" w14:textId="77777777">
          <w:pPr>
            <w:jc w:val="right"/>
            <w:rPr>
              <w:szCs w:val="16"/>
            </w:rPr>
          </w:pPr>
          <w:bookmarkStart w:id="3" w:name="spsDateDistribution"/>
          <w:bookmarkStart w:id="4" w:name="bmkDate"/>
          <w:r w:rsidRPr="009239F7">
            <w:rPr>
              <w:szCs w:val="16"/>
            </w:rPr>
            <w:t>9 July 2026</w:t>
          </w:r>
          <w:bookmarkEnd w:id="3"/>
          <w:bookmarkEnd w:id="4"/>
        </w:p>
      </w:tc>
    </w:tr>
    <w:tr w14:paraId="7CC993B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1CEB266" w14:textId="77777777">
          <w:pPr>
            <w:jc w:val="left"/>
            <w:rPr>
              <w:b/>
            </w:rPr>
          </w:pPr>
          <w:bookmarkStart w:id="5" w:name="bmkSerial"/>
          <w:r>
            <w:rPr>
              <w:rFonts w:ascii="Verdana" w:eastAsia="Verdana" w:hAnsi="Verdana" w:cs="Verdana"/>
              <w:b w:val="0"/>
              <w:color w:val="FF0000"/>
              <w:sz w:val="18"/>
            </w:rPr>
            <w:t>(26-4914)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19E9BB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264B67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C34256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78B9F2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CB8C8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92930581">
    <w:abstractNumId w:val="9"/>
  </w:num>
  <w:num w:numId="2" w16cid:durableId="1519737446">
    <w:abstractNumId w:val="7"/>
  </w:num>
  <w:num w:numId="3" w16cid:durableId="2021153588">
    <w:abstractNumId w:val="6"/>
  </w:num>
  <w:num w:numId="4" w16cid:durableId="1472791111">
    <w:abstractNumId w:val="5"/>
  </w:num>
  <w:num w:numId="5" w16cid:durableId="1564564006">
    <w:abstractNumId w:val="4"/>
  </w:num>
  <w:num w:numId="6" w16cid:durableId="1782844780">
    <w:abstractNumId w:val="12"/>
  </w:num>
  <w:num w:numId="7" w16cid:durableId="1282110222">
    <w:abstractNumId w:val="11"/>
  </w:num>
  <w:num w:numId="8" w16cid:durableId="1560282908">
    <w:abstractNumId w:val="10"/>
  </w:num>
  <w:num w:numId="9" w16cid:durableId="2755994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7838911">
    <w:abstractNumId w:val="13"/>
  </w:num>
  <w:num w:numId="11" w16cid:durableId="1126393264">
    <w:abstractNumId w:val="8"/>
  </w:num>
  <w:num w:numId="12" w16cid:durableId="1335036947">
    <w:abstractNumId w:val="3"/>
  </w:num>
  <w:num w:numId="13" w16cid:durableId="754321609">
    <w:abstractNumId w:val="2"/>
  </w:num>
  <w:num w:numId="14" w16cid:durableId="1431703938">
    <w:abstractNumId w:val="1"/>
  </w:num>
  <w:num w:numId="15" w16cid:durableId="1960792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373F5"/>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85869"/>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42192"/>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3B45"/>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08881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7-08/html/2026-13805.htm" TargetMode="External" /><Relationship Id="rId11" Type="http://schemas.openxmlformats.org/officeDocument/2006/relationships/hyperlink" Target="https://www.govinfo.gov/content/pkg/FR-2026-07-08/pdf/2026-13805.pdf" TargetMode="External" /><Relationship Id="rId12" Type="http://schemas.openxmlformats.org/officeDocument/2006/relationships/hyperlink" Target="https://www.regulations.gov/docket/PHMSA-2025-0019/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548_00_e.pdf" TargetMode="External" /><Relationship Id="rId7" Type="http://schemas.openxmlformats.org/officeDocument/2006/relationships/hyperlink" Target="https://www.ecfr.gov/current/title-49" TargetMode="External" /><Relationship Id="rId8" Type="http://schemas.openxmlformats.org/officeDocument/2006/relationships/hyperlink" Target="https://www.ecfr.gov/current/title-49/subtitle-B/chapter-I/subchapter-D/part-192" TargetMode="External" /><Relationship Id="rId9" Type="http://schemas.openxmlformats.org/officeDocument/2006/relationships/hyperlink" Target="https://www.ecfr.gov/current/title-49/subtitle-B/chapter-I/subchapter-D/part-19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A32F93E-2E79-4AC8-B137-5A16C2E4F21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2026-07-09T08:20:00Z</dcterms:created>
  <dcterms:modified xsi:type="dcterms:W3CDTF">2026-07-09T08:20:00Z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