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F4B6E70" w14:textId="77777777">
      <w:pPr>
        <w:pStyle w:val="Title"/>
      </w:pPr>
      <w:r w:rsidRPr="002F663C">
        <w:t>NOTIFICATION</w:t>
      </w:r>
    </w:p>
    <w:p w:rsidR="002F663C" w:rsidRPr="002F663C" w:rsidP="00DD3DD7" w14:paraId="4BD8930E" w14:textId="77777777">
      <w:pPr>
        <w:pStyle w:val="Title3"/>
      </w:pPr>
      <w:r w:rsidRPr="002F663C">
        <w:t>Addendum</w:t>
      </w:r>
    </w:p>
    <w:p w:rsidR="002F663C" w:rsidP="001E2E4A" w14:paraId="4E8E6E2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924C7DA" w14:textId="77777777">
      <w:pPr>
        <w:rPr>
          <w:rFonts w:eastAsia="Calibri" w:cs="Times New Roman"/>
        </w:rPr>
      </w:pPr>
    </w:p>
    <w:p w:rsidR="002F663C" w:rsidRPr="002F663C" w:rsidP="002F663C" w14:paraId="2313CF70" w14:textId="77777777">
      <w:pPr>
        <w:jc w:val="center"/>
        <w:rPr>
          <w:rFonts w:eastAsia="Calibri" w:cs="Times New Roman"/>
          <w:b/>
        </w:rPr>
      </w:pPr>
      <w:r w:rsidRPr="002F663C">
        <w:rPr>
          <w:rFonts w:eastAsia="Calibri" w:cs="Times New Roman"/>
          <w:b/>
        </w:rPr>
        <w:t>_______________</w:t>
      </w:r>
    </w:p>
    <w:p w:rsidR="002F663C" w:rsidP="002F663C" w14:paraId="4A09BBFA" w14:textId="77777777">
      <w:pPr>
        <w:rPr>
          <w:rFonts w:eastAsia="Calibri" w:cs="Times New Roman"/>
        </w:rPr>
      </w:pPr>
    </w:p>
    <w:p w:rsidR="00C14444" w:rsidRPr="002F663C" w:rsidP="002F663C" w14:paraId="727D39D0" w14:textId="77777777">
      <w:pPr>
        <w:rPr>
          <w:rFonts w:eastAsia="Calibri" w:cs="Times New Roman"/>
        </w:rPr>
      </w:pPr>
    </w:p>
    <w:p w:rsidR="002F663C" w:rsidRPr="002F663C" w:rsidP="002F663C" w14:paraId="491FD22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Second Notice of Public Availability of Modified Text and Availability of Additional Documents and Information for the Proposal to Permanently Adopt the Emergency Vehicle Emissions Regulations</w:t>
      </w:r>
    </w:p>
    <w:p w:rsidR="002F663C" w:rsidRPr="002F663C" w:rsidP="002F663C" w14:paraId="64CE0A1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9D0A7E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F66121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B94DD57" w14:textId="77777777" w:rsidTr="00E9471B">
        <w:tblPrEx>
          <w:tblW w:w="9049" w:type="dxa"/>
          <w:tblLayout w:type="fixed"/>
          <w:tblLook w:val="04A0"/>
        </w:tblPrEx>
        <w:tc>
          <w:tcPr>
            <w:tcW w:w="851" w:type="dxa"/>
          </w:tcPr>
          <w:p w:rsidR="002F663C" w:rsidRPr="00711F9C" w:rsidP="00C14444" w14:paraId="74C59DC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C4203B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274C39E" w14:textId="77777777" w:rsidTr="00E9471B">
        <w:tblPrEx>
          <w:tblW w:w="9049" w:type="dxa"/>
          <w:tblLayout w:type="fixed"/>
          <w:tblLook w:val="04A0"/>
        </w:tblPrEx>
        <w:tc>
          <w:tcPr>
            <w:tcW w:w="851" w:type="dxa"/>
          </w:tcPr>
          <w:p w:rsidR="002F663C" w:rsidRPr="00711F9C" w:rsidP="00C14444" w14:paraId="48FC415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63DF2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BA56C2E" w14:textId="77777777" w:rsidTr="00E9471B">
        <w:tblPrEx>
          <w:tblW w:w="9049" w:type="dxa"/>
          <w:tblLayout w:type="fixed"/>
          <w:tblLook w:val="04A0"/>
        </w:tblPrEx>
        <w:tc>
          <w:tcPr>
            <w:tcW w:w="851" w:type="dxa"/>
          </w:tcPr>
          <w:p w:rsidR="002F663C" w:rsidRPr="00711F9C" w:rsidP="00C14444" w14:paraId="3481662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339CE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F22B38E" w14:textId="77777777" w:rsidTr="00E9471B">
        <w:tblPrEx>
          <w:tblW w:w="9049" w:type="dxa"/>
          <w:tblLayout w:type="fixed"/>
          <w:tblLook w:val="04A0"/>
        </w:tblPrEx>
        <w:tc>
          <w:tcPr>
            <w:tcW w:w="851" w:type="dxa"/>
          </w:tcPr>
          <w:p w:rsidR="002F663C" w:rsidRPr="00711F9C" w:rsidP="00C14444" w14:paraId="5433F04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795F69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799874D" w14:textId="77777777" w:rsidTr="00E9471B">
        <w:tblPrEx>
          <w:tblW w:w="9049" w:type="dxa"/>
          <w:tblLayout w:type="fixed"/>
          <w:tblLook w:val="04A0"/>
        </w:tblPrEx>
        <w:tc>
          <w:tcPr>
            <w:tcW w:w="851" w:type="dxa"/>
          </w:tcPr>
          <w:p w:rsidR="002F663C" w:rsidRPr="00711F9C" w:rsidP="00C14444" w14:paraId="714F5C9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C9F555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97910AB" w14:textId="77777777" w:rsidTr="00E9471B">
        <w:tblPrEx>
          <w:tblW w:w="9049" w:type="dxa"/>
          <w:tblLayout w:type="fixed"/>
          <w:tblLook w:val="04A0"/>
        </w:tblPrEx>
        <w:tc>
          <w:tcPr>
            <w:tcW w:w="851" w:type="dxa"/>
          </w:tcPr>
          <w:p w:rsidR="002F663C" w:rsidRPr="00711F9C" w:rsidP="00C14444" w14:paraId="37E8849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E346D9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C5D7C5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697A17D" w14:textId="77777777" w:rsidTr="00E9471B">
        <w:tblPrEx>
          <w:tblW w:w="9049" w:type="dxa"/>
          <w:tblLayout w:type="fixed"/>
          <w:tblLook w:val="04A0"/>
        </w:tblPrEx>
        <w:tc>
          <w:tcPr>
            <w:tcW w:w="851" w:type="dxa"/>
          </w:tcPr>
          <w:p w:rsidR="002F663C" w:rsidRPr="00711F9C" w:rsidP="00C14444" w14:paraId="148146F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E8C3936"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47BB166" w14:textId="77777777">
            <w:pPr>
              <w:spacing w:before="120" w:after="120"/>
              <w:rPr>
                <w:rFonts w:eastAsia="Calibri" w:cs="Times New Roman"/>
              </w:rPr>
            </w:pPr>
            <w:r>
              <w:rPr>
                <w:rFonts w:eastAsia="Calibri" w:cs="Times New Roman"/>
              </w:rPr>
              <w:t>The California Air Resources Board (CARB or Board) has posted a Second Notice of Public Availability of Modified Text and Availability of Additional Documents and Information for the Proposal to Permanently Adopt the Emergency Vehicle Emissions Regulations (Second 15-Day Notice).</w:t>
            </w:r>
          </w:p>
          <w:p w:rsidR="00082727" w:rsidP="00C14444" w14:paraId="3851554C"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https://members.wto.org/crnattachments/2026/TBT/USA/modification/26_03538_00_e.pdf</w:t>
              </w:r>
            </w:hyperlink>
          </w:p>
          <w:p w:rsidR="002F663C" w:rsidRPr="002F663C" w:rsidP="00C14444" w14:paraId="234203C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15 July 2026</w:t>
            </w:r>
          </w:p>
        </w:tc>
      </w:tr>
      <w:tr w14:paraId="1BC3F03A" w14:textId="77777777" w:rsidTr="00E9471B">
        <w:tblPrEx>
          <w:tblW w:w="9049" w:type="dxa"/>
          <w:tblLayout w:type="fixed"/>
          <w:tblLook w:val="04A0"/>
        </w:tblPrEx>
        <w:tc>
          <w:tcPr>
            <w:tcW w:w="851" w:type="dxa"/>
          </w:tcPr>
          <w:p w:rsidR="002F663C" w:rsidRPr="00711F9C" w:rsidP="00C14444" w14:paraId="721B1B1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4EB23A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875B136" w14:textId="77777777" w:rsidTr="00E9471B">
        <w:tblPrEx>
          <w:tblW w:w="9049" w:type="dxa"/>
          <w:tblLayout w:type="fixed"/>
          <w:tblLook w:val="04A0"/>
        </w:tblPrEx>
        <w:tc>
          <w:tcPr>
            <w:tcW w:w="851" w:type="dxa"/>
            <w:tcBorders>
              <w:bottom w:val="double" w:sz="4" w:space="0" w:color="auto"/>
            </w:tcBorders>
          </w:tcPr>
          <w:p w:rsidR="002F663C" w:rsidRPr="00711F9C" w:rsidP="00C14444" w14:paraId="46E38EC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2E93A7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61C62BA" w14:textId="77777777">
      <w:pPr>
        <w:jc w:val="left"/>
        <w:rPr>
          <w:rFonts w:eastAsia="Calibri" w:cs="Times New Roman"/>
          <w:highlight w:val="yellow"/>
        </w:rPr>
      </w:pPr>
    </w:p>
    <w:p w:rsidR="003971FF" w:rsidRPr="007F6EA2" w:rsidP="00B16ACF" w14:paraId="0A04219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At its 26 March 2026 public hearing, the California Air Resources Board (CARB) approved the permanent adoption of the Emergency Vehicle Emissions Regulations adopted via emergency rulemaking, which became effective on 2 October 2025. The Board approved for permanent adoption the proposed sections 1900, 1956.8, 1961.2, 1961.3, 1962.2, 1962.3, 1965, 1968.2, 1968.5, 1969, 1971.1, 1971.5, 1976, 1978, 2035, 2036, 2037, 2038, 2040, 2111, 2112, 2113, 2114, 2115, 2116, 2117, 2118, 2119, 2121, 2123, 2125, 2126, 2127</w:t>
      </w:r>
      <w:r w:rsidRPr="002F663C">
        <w:rPr>
          <w:rFonts w:eastAsia="Calibri" w:cs="Times New Roman"/>
          <w:szCs w:val="18"/>
        </w:rPr>
        <w:t xml:space="preserve">, 2128, 2129, 2130, 2131, 2133, 2137, 2139, 2139.5, 2140, 2141, 2142, 2143, 2144, 2145, 2146, 2147, 2148, 2149, 2166, 2166.1, 2167, 2168, 2169, 2169.1, 2169.2, 2169.3, 2169.4, 2169.5, 2169.6, 2169.7, 2169.8, </w:t>
      </w:r>
      <w:r w:rsidRPr="002F663C">
        <w:rPr>
          <w:rFonts w:eastAsia="Calibri" w:cs="Times New Roman"/>
          <w:szCs w:val="18"/>
        </w:rPr>
        <w:t>2170, 2317, 2423, 2485, 2903, 1900.0.1, 1956.8.1, 1961.2.1, 1961.3.1, 1962.2.1, 1962.3.1, 1965.0.1, 1968.2.1, 1968.5.1, 1969.0.1, 1971.1.1, 1971.5.1, 1976.0.1, 1978.0.1, 2035.0.1, 2036.0.1, 2037.0.1, 2038.0.1, 2040.0.1, 2111.0.1, 2112.0.1, 2113.0.1, 2114.0.1, 2115.0.1, 2116.0.1, 2117.0.1, 2118.0.1, 2119</w:t>
      </w:r>
      <w:r w:rsidRPr="002F663C">
        <w:rPr>
          <w:rFonts w:eastAsia="Calibri" w:cs="Times New Roman"/>
          <w:szCs w:val="18"/>
        </w:rPr>
        <w:t>.0.1, 2121.0.1, 2123.0.1, 2125.0.1, 2126.0.1, 2127.0.1, 2128.0.1, 2129.0.1, 2130.0.1, 2131.0.1, 2133.0.1, 2137.0.1, 2139.0.1, 2140.0.1, 2141.0.1, 2142.0.1, 2143.0.1, 2144.0.1, 2145.0.1, 2146.0.1, 2147.0.1, 2148.0.1, 2149.0.1, 2317.0.1, 2423.0.1, 2485.0.1, and 2903.0.1, Title 13, California Code of Regulations (CCR); sections 95300, 95301, 95302, 95303, 95304, 95305, 95306, 95307, 95308, 95309, 95310, 95311, 95312, 95660, 95661, 95662, 95663, 95664, 95300.0.1, 95301.0.1, 95302.0.1, 95303.0.1, 95304.0.1, 9530</w:t>
      </w:r>
      <w:r w:rsidRPr="002F663C">
        <w:rPr>
          <w:rFonts w:eastAsia="Calibri" w:cs="Times New Roman"/>
          <w:szCs w:val="18"/>
        </w:rPr>
        <w:t>5.0.1, 95306.0.1, 95307.0.1, 95308.0.1, 95309.0.1, 95310.0.1, 95311.0.1, 95312.0.1, 95660.0.1, 95661.0.1, 95662.0.1, 95663.0.1, and 95664.0.1, Title 17, CCR. The regulatory action confirmed that, until a court resolves the uncertainty created by the federal government's actions, certain antecedent regulations (displaced by Advanced Clean Cars II and On-Road Heavy-Duty Engine and Vehicle Omnibus (Omnibus) regulations) remain operative (as previously adopted) with the caveat that CARB may enforce Advanced Cle</w:t>
      </w:r>
      <w:r w:rsidRPr="002F663C">
        <w:rPr>
          <w:rFonts w:eastAsia="Calibri" w:cs="Times New Roman"/>
          <w:szCs w:val="18"/>
        </w:rPr>
        <w:t>an Cars II and Omnibus regulations, to the extent permitted by law, in the event a court of law holds invalid the congressional resolutions purporting to disapprove the waivers for those regulations.</w:t>
      </w:r>
    </w:p>
    <w:p w:rsidR="00215844" w:rsidRPr="002F663C" w:rsidP="00B16ACF" w14:paraId="5B892AD1" w14:textId="77777777">
      <w:pPr>
        <w:spacing w:before="120" w:after="120"/>
        <w:rPr>
          <w:rFonts w:eastAsia="Calibri" w:cs="Times New Roman"/>
          <w:szCs w:val="18"/>
        </w:rPr>
      </w:pPr>
      <w:r w:rsidRPr="002F663C">
        <w:rPr>
          <w:rFonts w:eastAsia="Calibri" w:cs="Times New Roman"/>
          <w:szCs w:val="18"/>
        </w:rPr>
        <w:t>On 3 April 2026, CARB posted a Notice of Public Availability of Modified Text and Availability of Additional Documents and/or Information (First 15-Day Changes), with a 15-day public comment period which ended on 20 April 2026.</w:t>
      </w:r>
    </w:p>
    <w:p w:rsidR="00215844" w:rsidRPr="002F663C" w:rsidP="00B16ACF" w14:paraId="383C7E06" w14:textId="77777777">
      <w:pPr>
        <w:spacing w:before="120" w:after="120"/>
        <w:rPr>
          <w:rFonts w:eastAsia="Calibri" w:cs="Times New Roman"/>
          <w:szCs w:val="18"/>
        </w:rPr>
      </w:pPr>
      <w:r w:rsidRPr="002F663C">
        <w:rPr>
          <w:rFonts w:eastAsia="Calibri" w:cs="Times New Roman"/>
          <w:szCs w:val="18"/>
        </w:rPr>
        <w:t>CARB has determined that additional modifications are appropriate for the proposed amendments and has developed the proposed modifications as stated in the "Summary of Proposed Modifications" section of the Second 15-Day Notice.</w:t>
      </w:r>
    </w:p>
    <w:p w:rsidR="00215844" w:rsidRPr="002F663C" w:rsidP="00B16ACF" w14:paraId="03BB8DD1" w14:textId="77777777">
      <w:pPr>
        <w:spacing w:before="120" w:after="120"/>
        <w:rPr>
          <w:rFonts w:eastAsia="Calibri" w:cs="Times New Roman"/>
          <w:szCs w:val="18"/>
        </w:rPr>
      </w:pPr>
      <w:r w:rsidRPr="002F663C">
        <w:rPr>
          <w:rFonts w:eastAsia="Calibri" w:cs="Times New Roman"/>
          <w:szCs w:val="18"/>
        </w:rPr>
        <w:t>Deadline for Public Comment on Second 15-Day Changes: 15 July 2026</w:t>
      </w:r>
    </w:p>
    <w:p w:rsidR="00215844" w:rsidRPr="002F663C" w:rsidP="00B16ACF" w14:paraId="4D3C320A" w14:textId="77777777">
      <w:pPr>
        <w:spacing w:before="120" w:after="120"/>
        <w:rPr>
          <w:rFonts w:eastAsia="Calibri" w:cs="Times New Roman"/>
          <w:szCs w:val="18"/>
        </w:rPr>
      </w:pPr>
      <w:r w:rsidRPr="002F663C">
        <w:rPr>
          <w:rFonts w:eastAsia="Calibri" w:cs="Times New Roman"/>
          <w:szCs w:val="18"/>
        </w:rPr>
        <w:t xml:space="preserve">Documents posted 30 June 2026: </w:t>
      </w:r>
      <w:hyperlink r:id="rId7" w:history="1">
        <w:r w:rsidRPr="002F663C">
          <w:rPr>
            <w:rFonts w:eastAsia="Calibri" w:cs="Times New Roman"/>
            <w:color w:val="0000FF"/>
            <w:szCs w:val="18"/>
            <w:u w:val="single"/>
          </w:rPr>
          <w:t>https://ww2.arb.ca.gov/rulemaking/2025/orhdomnibus</w:t>
        </w:r>
      </w:hyperlink>
    </w:p>
    <w:p w:rsidR="00215844" w:rsidRPr="002F663C" w:rsidP="00B16ACF" w14:paraId="19587C6E" w14:textId="77777777">
      <w:pPr>
        <w:spacing w:before="120" w:after="120"/>
        <w:rPr>
          <w:rFonts w:eastAsia="Calibri" w:cs="Times New Roman"/>
          <w:szCs w:val="18"/>
        </w:rPr>
      </w:pPr>
      <w:hyperlink r:id="rId8" w:history="1">
        <w:r w:rsidRPr="002F663C">
          <w:rPr>
            <w:rFonts w:eastAsia="Calibri" w:cs="Times New Roman"/>
            <w:color w:val="0000FF"/>
            <w:szCs w:val="18"/>
            <w:u w:val="single"/>
          </w:rPr>
          <w:t>Second Notice of Public Availability of Modified Text and Availability of Additional Documents</w:t>
        </w:r>
      </w:hyperlink>
      <w:r w:rsidRPr="002F663C">
        <w:rPr>
          <w:rFonts w:eastAsia="Calibri" w:cs="Times New Roman"/>
          <w:szCs w:val="18"/>
        </w:rPr>
        <w:t xml:space="preserve"> </w:t>
      </w:r>
      <w:r w:rsidRPr="002F663C">
        <w:rPr>
          <w:rFonts w:eastAsia="Calibri" w:cs="Times New Roman"/>
          <w:b/>
          <w:bCs/>
          <w:szCs w:val="18"/>
        </w:rPr>
        <w:t>(Deadline to Comment: 15 July 2026)</w:t>
      </w:r>
    </w:p>
    <w:p w:rsidR="00215844" w:rsidRPr="002F663C" w:rsidP="00B16ACF" w14:paraId="72AA56C8" w14:textId="77777777">
      <w:pPr>
        <w:spacing w:before="120" w:after="120"/>
        <w:rPr>
          <w:rFonts w:eastAsia="Calibri" w:cs="Times New Roman"/>
          <w:szCs w:val="18"/>
        </w:rPr>
      </w:pPr>
      <w:hyperlink r:id="rId9" w:history="1">
        <w:r w:rsidRPr="002F663C">
          <w:rPr>
            <w:rFonts w:eastAsia="Calibri" w:cs="Times New Roman"/>
            <w:color w:val="0000FF"/>
            <w:szCs w:val="18"/>
            <w:u w:val="single"/>
          </w:rPr>
          <w:t>Appendix A-3.1</w:t>
        </w:r>
      </w:hyperlink>
      <w:r w:rsidRPr="002F663C">
        <w:rPr>
          <w:rFonts w:eastAsia="Calibri" w:cs="Times New Roman"/>
          <w:szCs w:val="18"/>
        </w:rPr>
        <w:t xml:space="preserve"> </w:t>
      </w:r>
      <w:r w:rsidRPr="002F663C">
        <w:rPr>
          <w:rFonts w:eastAsia="Calibri" w:cs="Times New Roman"/>
          <w:b/>
          <w:bCs/>
          <w:szCs w:val="18"/>
        </w:rPr>
        <w:t>(Second 15-Day Changes Available for Comment)</w:t>
      </w:r>
    </w:p>
    <w:p w:rsidR="00215844" w:rsidRPr="002F663C" w:rsidP="00B16ACF" w14:paraId="0BD03A29" w14:textId="77777777">
      <w:pPr>
        <w:spacing w:before="120" w:after="120"/>
        <w:rPr>
          <w:rFonts w:eastAsia="Calibri" w:cs="Times New Roman"/>
          <w:szCs w:val="18"/>
        </w:rPr>
      </w:pPr>
      <w:hyperlink r:id="rId10" w:history="1">
        <w:r w:rsidRPr="002F663C">
          <w:rPr>
            <w:rFonts w:eastAsia="Calibri" w:cs="Times New Roman"/>
            <w:color w:val="0000FF"/>
            <w:szCs w:val="18"/>
            <w:u w:val="single"/>
          </w:rPr>
          <w:t>Appendix A-3.2</w:t>
        </w:r>
      </w:hyperlink>
      <w:r w:rsidRPr="002F663C">
        <w:rPr>
          <w:rFonts w:eastAsia="Calibri" w:cs="Times New Roman"/>
          <w:szCs w:val="18"/>
        </w:rPr>
        <w:t xml:space="preserve"> </w:t>
      </w:r>
      <w:r w:rsidRPr="002F663C">
        <w:rPr>
          <w:rFonts w:eastAsia="Calibri" w:cs="Times New Roman"/>
          <w:i/>
          <w:iCs/>
          <w:szCs w:val="18"/>
        </w:rPr>
        <w:t>~Alternate Format to Appendix A-3.1~</w:t>
      </w:r>
    </w:p>
    <w:p w:rsidR="00215844" w:rsidRPr="002F663C" w:rsidP="00B16ACF" w14:paraId="4E53E1FA" w14:textId="77777777">
      <w:pPr>
        <w:spacing w:before="120" w:after="120"/>
        <w:rPr>
          <w:rFonts w:eastAsia="Calibri" w:cs="Times New Roman"/>
          <w:szCs w:val="18"/>
        </w:rPr>
      </w:pPr>
      <w:hyperlink r:id="rId11" w:history="1">
        <w:r w:rsidRPr="002F663C">
          <w:rPr>
            <w:rFonts w:eastAsia="Calibri" w:cs="Times New Roman"/>
            <w:color w:val="0000FF"/>
            <w:szCs w:val="18"/>
            <w:u w:val="single"/>
          </w:rPr>
          <w:t>Appendix A-3.3</w:t>
        </w:r>
      </w:hyperlink>
      <w:r w:rsidRPr="002F663C">
        <w:rPr>
          <w:rFonts w:eastAsia="Calibri" w:cs="Times New Roman"/>
          <w:szCs w:val="18"/>
        </w:rPr>
        <w:t xml:space="preserve"> </w:t>
      </w:r>
      <w:r w:rsidRPr="002F663C">
        <w:rPr>
          <w:rFonts w:eastAsia="Calibri" w:cs="Times New Roman"/>
          <w:i/>
          <w:iCs/>
          <w:szCs w:val="18"/>
        </w:rPr>
        <w:t>~For Review Only~</w:t>
      </w:r>
    </w:p>
    <w:p w:rsidR="00215844" w:rsidRPr="002F663C" w:rsidP="00B16ACF" w14:paraId="03111EAC" w14:textId="77777777">
      <w:pPr>
        <w:spacing w:before="120" w:after="120"/>
        <w:rPr>
          <w:rFonts w:eastAsia="Calibri" w:cs="Times New Roman"/>
          <w:szCs w:val="18"/>
        </w:rPr>
      </w:pPr>
      <w:hyperlink r:id="rId12" w:history="1">
        <w:r w:rsidRPr="002F663C">
          <w:rPr>
            <w:rFonts w:eastAsia="Calibri" w:cs="Times New Roman"/>
            <w:color w:val="0000FF"/>
            <w:szCs w:val="18"/>
            <w:u w:val="single"/>
          </w:rPr>
          <w:t>Appendix A-5.1</w:t>
        </w:r>
      </w:hyperlink>
      <w:r w:rsidRPr="002F663C">
        <w:rPr>
          <w:rFonts w:eastAsia="Calibri" w:cs="Times New Roman"/>
          <w:szCs w:val="18"/>
        </w:rPr>
        <w:t xml:space="preserve"> </w:t>
      </w:r>
      <w:r w:rsidRPr="002F663C">
        <w:rPr>
          <w:rFonts w:eastAsia="Calibri" w:cs="Times New Roman"/>
          <w:b/>
          <w:bCs/>
          <w:szCs w:val="18"/>
        </w:rPr>
        <w:t>(Second 15-Day Changes Available for Comment)</w:t>
      </w:r>
    </w:p>
    <w:p w:rsidR="00215844" w:rsidRPr="002F663C" w:rsidP="00B16ACF" w14:paraId="42D260B6" w14:textId="77777777">
      <w:pPr>
        <w:spacing w:before="120" w:after="120"/>
        <w:rPr>
          <w:rFonts w:eastAsia="Calibri" w:cs="Times New Roman"/>
          <w:szCs w:val="18"/>
        </w:rPr>
      </w:pPr>
      <w:hyperlink r:id="rId13" w:history="1">
        <w:r w:rsidRPr="002F663C">
          <w:rPr>
            <w:rFonts w:eastAsia="Calibri" w:cs="Times New Roman"/>
            <w:color w:val="0000FF"/>
            <w:szCs w:val="18"/>
            <w:u w:val="single"/>
          </w:rPr>
          <w:t>Appendix A-5.2</w:t>
        </w:r>
      </w:hyperlink>
      <w:r w:rsidRPr="002F663C">
        <w:rPr>
          <w:rFonts w:eastAsia="Calibri" w:cs="Times New Roman"/>
          <w:szCs w:val="18"/>
        </w:rPr>
        <w:t xml:space="preserve"> </w:t>
      </w:r>
      <w:r w:rsidRPr="002F663C">
        <w:rPr>
          <w:rFonts w:eastAsia="Calibri" w:cs="Times New Roman"/>
          <w:i/>
          <w:iCs/>
          <w:szCs w:val="18"/>
        </w:rPr>
        <w:t>~Alternate Format to Appendix A-5.1~</w:t>
      </w:r>
    </w:p>
    <w:p w:rsidR="00215844" w:rsidRPr="002F663C" w:rsidP="00B16ACF" w14:paraId="1BD4F0C0" w14:textId="77777777">
      <w:pPr>
        <w:spacing w:before="120" w:after="120"/>
        <w:rPr>
          <w:rFonts w:eastAsia="Calibri" w:cs="Times New Roman"/>
          <w:szCs w:val="18"/>
        </w:rPr>
      </w:pPr>
      <w:hyperlink r:id="rId14" w:history="1">
        <w:r w:rsidRPr="002F663C">
          <w:rPr>
            <w:rFonts w:eastAsia="Calibri" w:cs="Times New Roman"/>
            <w:color w:val="0000FF"/>
            <w:szCs w:val="18"/>
            <w:u w:val="single"/>
          </w:rPr>
          <w:t>Appendix A-5.3</w:t>
        </w:r>
      </w:hyperlink>
      <w:r w:rsidRPr="002F663C">
        <w:rPr>
          <w:rFonts w:eastAsia="Calibri" w:cs="Times New Roman"/>
          <w:szCs w:val="18"/>
        </w:rPr>
        <w:t xml:space="preserve"> </w:t>
      </w:r>
      <w:r w:rsidRPr="002F663C">
        <w:rPr>
          <w:rFonts w:eastAsia="Calibri" w:cs="Times New Roman"/>
          <w:i/>
          <w:iCs/>
          <w:szCs w:val="18"/>
        </w:rPr>
        <w:t>~For Review Only~</w:t>
      </w:r>
    </w:p>
    <w:p w:rsidR="00215844" w:rsidRPr="002F663C" w:rsidP="00B16ACF" w14:paraId="5324BCEE" w14:textId="77777777">
      <w:pPr>
        <w:spacing w:before="120" w:after="120"/>
        <w:rPr>
          <w:rFonts w:eastAsia="Calibri" w:cs="Times New Roman"/>
          <w:szCs w:val="18"/>
        </w:rPr>
      </w:pPr>
      <w:hyperlink r:id="rId15" w:history="1">
        <w:r w:rsidRPr="002F663C">
          <w:rPr>
            <w:rFonts w:eastAsia="Calibri" w:cs="Times New Roman"/>
            <w:color w:val="0000FF"/>
            <w:szCs w:val="18"/>
            <w:u w:val="single"/>
          </w:rPr>
          <w:t>Appendix A-8.1</w:t>
        </w:r>
      </w:hyperlink>
      <w:r w:rsidRPr="002F663C">
        <w:rPr>
          <w:rFonts w:eastAsia="Calibri" w:cs="Times New Roman"/>
          <w:szCs w:val="18"/>
        </w:rPr>
        <w:t xml:space="preserve"> </w:t>
      </w:r>
      <w:r w:rsidRPr="002F663C">
        <w:rPr>
          <w:rFonts w:eastAsia="Calibri" w:cs="Times New Roman"/>
          <w:b/>
          <w:bCs/>
          <w:szCs w:val="18"/>
        </w:rPr>
        <w:t>(Second 15-Day Changes Available for Comment)</w:t>
      </w:r>
    </w:p>
    <w:p w:rsidR="00215844" w:rsidRPr="002F663C" w:rsidP="00B16ACF" w14:paraId="4370E5BB" w14:textId="77777777">
      <w:pPr>
        <w:spacing w:before="120" w:after="120"/>
        <w:rPr>
          <w:rFonts w:eastAsia="Calibri" w:cs="Times New Roman"/>
          <w:szCs w:val="18"/>
        </w:rPr>
      </w:pPr>
      <w:hyperlink r:id="rId16" w:history="1">
        <w:r w:rsidRPr="002F663C">
          <w:rPr>
            <w:rFonts w:eastAsia="Calibri" w:cs="Times New Roman"/>
            <w:color w:val="0000FF"/>
            <w:szCs w:val="18"/>
            <w:u w:val="single"/>
          </w:rPr>
          <w:t>Appendix A-8.2</w:t>
        </w:r>
      </w:hyperlink>
      <w:r w:rsidRPr="002F663C">
        <w:rPr>
          <w:rFonts w:eastAsia="Calibri" w:cs="Times New Roman"/>
          <w:szCs w:val="18"/>
        </w:rPr>
        <w:t xml:space="preserve"> </w:t>
      </w:r>
      <w:r w:rsidRPr="002F663C">
        <w:rPr>
          <w:rFonts w:eastAsia="Calibri" w:cs="Times New Roman"/>
          <w:i/>
          <w:iCs/>
          <w:szCs w:val="18"/>
        </w:rPr>
        <w:t>~Alternate Format to Appendix A-8.1~</w:t>
      </w:r>
    </w:p>
    <w:p w:rsidR="00215844" w:rsidRPr="002F663C" w:rsidP="00B16ACF" w14:paraId="5D2A06A8" w14:textId="77777777">
      <w:pPr>
        <w:spacing w:before="120" w:after="120"/>
        <w:rPr>
          <w:rFonts w:eastAsia="Calibri" w:cs="Times New Roman"/>
          <w:szCs w:val="18"/>
        </w:rPr>
      </w:pPr>
      <w:hyperlink r:id="rId17" w:history="1">
        <w:r w:rsidRPr="002F663C">
          <w:rPr>
            <w:rFonts w:eastAsia="Calibri" w:cs="Times New Roman"/>
            <w:color w:val="0000FF"/>
            <w:szCs w:val="18"/>
            <w:u w:val="single"/>
          </w:rPr>
          <w:t>Appendix A-8.3</w:t>
        </w:r>
      </w:hyperlink>
      <w:r w:rsidRPr="002F663C">
        <w:rPr>
          <w:rFonts w:eastAsia="Calibri" w:cs="Times New Roman"/>
          <w:szCs w:val="18"/>
        </w:rPr>
        <w:t xml:space="preserve"> </w:t>
      </w:r>
      <w:r w:rsidRPr="002F663C">
        <w:rPr>
          <w:rFonts w:eastAsia="Calibri" w:cs="Times New Roman"/>
          <w:i/>
          <w:iCs/>
          <w:szCs w:val="18"/>
        </w:rPr>
        <w:t>~For Review Only~</w:t>
      </w:r>
    </w:p>
    <w:p w:rsidR="00215844" w:rsidRPr="002F663C" w:rsidP="00B16ACF" w14:paraId="304E3F10" w14:textId="77777777">
      <w:pPr>
        <w:spacing w:before="120" w:after="120"/>
        <w:rPr>
          <w:rFonts w:eastAsia="Calibri" w:cs="Times New Roman"/>
          <w:szCs w:val="18"/>
        </w:rPr>
      </w:pPr>
      <w:r w:rsidRPr="002F663C">
        <w:rPr>
          <w:rFonts w:eastAsia="Calibri" w:cs="Times New Roman"/>
          <w:szCs w:val="18"/>
        </w:rPr>
        <w:t>Additional Documents Added to the Record</w:t>
      </w:r>
    </w:p>
    <w:p w:rsidR="00215844" w:rsidRPr="002F663C" w:rsidP="00B16ACF" w14:paraId="44D60F18" w14:textId="77777777">
      <w:pPr>
        <w:spacing w:before="120" w:after="120"/>
        <w:rPr>
          <w:rFonts w:eastAsia="Calibri" w:cs="Times New Roman"/>
          <w:szCs w:val="18"/>
        </w:rPr>
      </w:pPr>
      <w:r w:rsidRPr="002F663C">
        <w:rPr>
          <w:rFonts w:eastAsia="Calibri" w:cs="Times New Roman"/>
          <w:szCs w:val="18"/>
        </w:rPr>
        <w:t>In the interest of completeness and in accordance with Government Code section 11347.1, subdivision (a), staff has also added to the rulemaking record and invites comments on the following additional documents.</w:t>
      </w:r>
    </w:p>
    <w:p w:rsidR="00215844" w:rsidRPr="002F663C" w:rsidP="00B16ACF" w14:paraId="630DF418" w14:textId="77777777">
      <w:pPr>
        <w:spacing w:before="120" w:after="120"/>
        <w:rPr>
          <w:rFonts w:eastAsia="Calibri" w:cs="Times New Roman"/>
          <w:szCs w:val="18"/>
        </w:rPr>
      </w:pPr>
      <w:hyperlink r:id="rId18" w:history="1">
        <w:r w:rsidRPr="002F663C">
          <w:rPr>
            <w:rFonts w:eastAsia="Calibri" w:cs="Times New Roman"/>
            <w:color w:val="0000FF"/>
            <w:szCs w:val="18"/>
            <w:u w:val="single"/>
          </w:rPr>
          <w:t>California Exhaust Emission Standards and Test Procedures for 2018 and Subsequent Model Zero-Emission Vehicles, in the Passenger Car, Light-Duty Truck and Medium-Duty Vehicle Classes, amended 6 December 2012, incorporated by reference in title 13, CCR, sections 1961.2.1 and 1962.2.1</w:t>
        </w:r>
      </w:hyperlink>
      <w:r w:rsidRPr="002F663C">
        <w:rPr>
          <w:rFonts w:eastAsia="Calibri" w:cs="Times New Roman"/>
          <w:szCs w:val="18"/>
        </w:rPr>
        <w:t>.</w:t>
      </w:r>
    </w:p>
    <w:p w:rsidR="00215844" w:rsidRPr="002F663C" w:rsidP="00B16ACF" w14:paraId="295A1789" w14:textId="77777777">
      <w:pPr>
        <w:spacing w:before="120" w:after="120"/>
        <w:rPr>
          <w:rFonts w:eastAsia="Calibri" w:cs="Times New Roman"/>
          <w:szCs w:val="18"/>
        </w:rPr>
      </w:pPr>
      <w:hyperlink r:id="rId19" w:history="1">
        <w:r w:rsidRPr="002F663C">
          <w:rPr>
            <w:rFonts w:eastAsia="Calibri" w:cs="Times New Roman"/>
            <w:color w:val="0000FF"/>
            <w:szCs w:val="18"/>
            <w:u w:val="single"/>
          </w:rPr>
          <w:t>California Environmental Performance Label Specifications for 2009 and Subsequent Model Year Passenger Cars, Light-Duty Trucks, and Medium-Duty Passenger Vehicles, amended 22 March 2012, incorporated by reference in title 13, CCR, section 1965.0.1</w:t>
        </w:r>
      </w:hyperlink>
      <w:r w:rsidRPr="002F663C">
        <w:rPr>
          <w:rFonts w:eastAsia="Calibri" w:cs="Times New Roman"/>
          <w:szCs w:val="18"/>
        </w:rPr>
        <w:t>.</w:t>
      </w:r>
    </w:p>
    <w:p w:rsidR="00215844" w:rsidRPr="002F663C" w:rsidP="00B16ACF" w14:paraId="00459BF2" w14:textId="77777777">
      <w:pPr>
        <w:spacing w:before="120" w:after="120"/>
        <w:rPr>
          <w:rFonts w:eastAsia="Calibri" w:cs="Times New Roman"/>
          <w:szCs w:val="18"/>
        </w:rPr>
      </w:pPr>
      <w:hyperlink r:id="rId20" w:history="1">
        <w:r w:rsidRPr="002F663C">
          <w:rPr>
            <w:rFonts w:eastAsia="Calibri" w:cs="Times New Roman"/>
            <w:color w:val="0000FF"/>
            <w:szCs w:val="18"/>
            <w:u w:val="single"/>
          </w:rPr>
          <w:t>California Test Procedure for Evaluating Substitute Fuels and New Clean Fuels Through 2014, amended 22 March 2012, incorporated by reference in title 13, CCR, section 2317.0.1</w:t>
        </w:r>
      </w:hyperlink>
      <w:r w:rsidRPr="002F663C">
        <w:rPr>
          <w:rFonts w:eastAsia="Calibri" w:cs="Times New Roman"/>
          <w:szCs w:val="18"/>
        </w:rPr>
        <w:t>.</w:t>
      </w:r>
    </w:p>
    <w:p w:rsidR="00215844" w:rsidRPr="002F663C" w:rsidP="00B16ACF" w14:paraId="097C36BC"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21"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w:t>
      </w:r>
      <w:hyperlink r:id="rId22"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3" w:history="1">
        <w:r w:rsidRPr="002F663C">
          <w:rPr>
            <w:rFonts w:eastAsia="Calibri" w:cs="Times New Roman"/>
            <w:color w:val="0000FF"/>
            <w:szCs w:val="18"/>
            <w:u w:val="single"/>
          </w:rPr>
          <w:t>Eastern Time</w:t>
        </w:r>
      </w:hyperlink>
      <w:r w:rsidRPr="002F663C">
        <w:rPr>
          <w:rFonts w:eastAsia="Calibri" w:cs="Times New Roman"/>
          <w:szCs w:val="18"/>
        </w:rPr>
        <w:t xml:space="preserve"> on 15 July 2026. Comments will be shared with CARB if received within the comment period. Alternatively, comments can be submitted directly at </w:t>
      </w:r>
      <w:hyperlink r:id="rId24" w:history="1">
        <w:r w:rsidRPr="002F663C">
          <w:rPr>
            <w:rFonts w:eastAsia="Calibri" w:cs="Times New Roman"/>
            <w:color w:val="0000FF"/>
            <w:szCs w:val="18"/>
            <w:u w:val="single"/>
          </w:rPr>
          <w:t>https://carb.commentinput.com/?id=pDaE58US3.</w:t>
        </w:r>
      </w:hyperlink>
      <w:r w:rsidRPr="002F663C">
        <w:rPr>
          <w:rFonts w:eastAsia="Calibri" w:cs="Times New Roman"/>
          <w:szCs w:val="18"/>
        </w:rPr>
        <w:t xml:space="preserve"> The link for comment submissions will expire once the comment period has closed. Comments submitted directly to CARB should be shared with the </w:t>
      </w:r>
      <w:hyperlink r:id="rId21" w:history="1">
        <w:r w:rsidRPr="002F663C">
          <w:rPr>
            <w:rFonts w:eastAsia="Calibri" w:cs="Times New Roman"/>
            <w:color w:val="0000FF"/>
            <w:szCs w:val="18"/>
            <w:u w:val="single"/>
          </w:rPr>
          <w:t>USA TBT Enquiry Point</w:t>
        </w:r>
      </w:hyperlink>
      <w:r w:rsidRPr="002F663C">
        <w:rPr>
          <w:rFonts w:eastAsia="Calibri" w:cs="Times New Roman"/>
          <w:szCs w:val="18"/>
        </w:rPr>
        <w:t>.</w:t>
      </w:r>
    </w:p>
    <w:p w:rsidR="00215844" w:rsidRPr="002F663C" w:rsidP="00B16ACF" w14:paraId="7D4C7707" w14:textId="77777777">
      <w:pPr>
        <w:spacing w:before="120" w:after="120"/>
        <w:rPr>
          <w:rFonts w:eastAsia="Calibri" w:cs="Times New Roman"/>
          <w:szCs w:val="18"/>
        </w:rPr>
      </w:pPr>
      <w:r w:rsidRPr="002F663C">
        <w:rPr>
          <w:rFonts w:eastAsia="Calibri" w:cs="Times New Roman"/>
          <w:szCs w:val="18"/>
        </w:rPr>
        <w:t xml:space="preserve">Comments posted by CARB are accessible at </w:t>
      </w:r>
      <w:hyperlink r:id="rId25" w:history="1">
        <w:r w:rsidRPr="002F663C">
          <w:rPr>
            <w:rFonts w:eastAsia="Calibri" w:cs="Times New Roman"/>
            <w:color w:val="0000FF"/>
            <w:szCs w:val="18"/>
            <w:u w:val="single"/>
          </w:rPr>
          <w:t>https://carb.commentinput.com/comment/extra?id=pDaE58US3.</w:t>
        </w:r>
      </w:hyperlink>
    </w:p>
    <w:p w:rsidR="006C5A96" w:rsidP="006C5A96" w14:paraId="797F409D" w14:textId="77777777">
      <w:pPr>
        <w:jc w:val="center"/>
        <w:rPr>
          <w:b/>
        </w:rPr>
      </w:pPr>
      <w:r w:rsidRPr="003971FF">
        <w:rPr>
          <w:b/>
        </w:rPr>
        <w:t>__________</w:t>
      </w:r>
    </w:p>
    <w:p w:rsidR="004D4D19" w:rsidP="007F38C2" w14:paraId="21DECC7C" w14:textId="77777777">
      <w:pPr>
        <w:jc w:val="center"/>
        <w:rPr>
          <w:b/>
        </w:rPr>
      </w:pPr>
    </w:p>
    <w:p w:rsidR="00A1565D" w:rsidP="003971FF" w14:paraId="7B5777DA" w14:textId="77777777">
      <w:pPr>
        <w:jc w:val="center"/>
        <w:rPr>
          <w:b/>
        </w:rPr>
      </w:pPr>
    </w:p>
    <w:sectPr w:rsidSect="006C5A96">
      <w:headerReference w:type="even" r:id="rId26"/>
      <w:headerReference w:type="default" r:id="rId27"/>
      <w:footerReference w:type="even" r:id="rId28"/>
      <w:footerReference w:type="default" r:id="rId29"/>
      <w:headerReference w:type="first" r:id="rId3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4705B7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E7D826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0AC9" w:rsidP="00ED54E0" w14:paraId="03BC3B55" w14:textId="77777777">
      <w:r>
        <w:separator/>
      </w:r>
    </w:p>
  </w:footnote>
  <w:footnote w:type="continuationSeparator" w:id="1">
    <w:p w:rsidR="00F10AC9" w:rsidP="00ED54E0" w14:paraId="23BF09D7" w14:textId="77777777">
      <w:r>
        <w:continuationSeparator/>
      </w:r>
    </w:p>
  </w:footnote>
  <w:footnote w:id="2">
    <w:p w:rsidR="007F6EA2" w14:paraId="453DE0E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1C62E9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AF67A93" w14:textId="77777777">
    <w:pPr>
      <w:pStyle w:val="Header"/>
      <w:pBdr>
        <w:bottom w:val="single" w:sz="4" w:space="1" w:color="auto"/>
      </w:pBdr>
      <w:tabs>
        <w:tab w:val="clear" w:pos="4513"/>
        <w:tab w:val="clear" w:pos="9027"/>
      </w:tabs>
      <w:jc w:val="center"/>
    </w:pPr>
  </w:p>
  <w:p w:rsidR="00DD3DD7" w:rsidRPr="00DD3DD7" w:rsidP="00DD3DD7" w14:paraId="6CC92ED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D160AD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7AA0FCC" w14:textId="77777777">
    <w:pPr>
      <w:pStyle w:val="Header"/>
      <w:pBdr>
        <w:bottom w:val="single" w:sz="4" w:space="1" w:color="auto"/>
      </w:pBdr>
      <w:tabs>
        <w:tab w:val="clear" w:pos="4513"/>
        <w:tab w:val="clear" w:pos="9027"/>
      </w:tabs>
      <w:jc w:val="center"/>
    </w:pPr>
    <w:bookmarkStart w:id="3" w:name="spsSymbolHeader"/>
    <w:r w:rsidRPr="00DD3DD7">
      <w:t>G/TBT/N/USA/2036/Rev.1/Add.6</w:t>
    </w:r>
    <w:bookmarkEnd w:id="3"/>
  </w:p>
  <w:p w:rsidR="00DD3DD7" w:rsidRPr="00DD3DD7" w:rsidP="00DD3DD7" w14:paraId="222CBD4F" w14:textId="77777777">
    <w:pPr>
      <w:pStyle w:val="Header"/>
      <w:pBdr>
        <w:bottom w:val="single" w:sz="4" w:space="1" w:color="auto"/>
      </w:pBdr>
      <w:tabs>
        <w:tab w:val="clear" w:pos="4513"/>
        <w:tab w:val="clear" w:pos="9027"/>
      </w:tabs>
      <w:jc w:val="center"/>
    </w:pPr>
  </w:p>
  <w:p w:rsidR="00DD3DD7" w:rsidRPr="00DD3DD7" w:rsidP="00DD3DD7" w14:paraId="29673C0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3</w:t>
    </w:r>
    <w:r w:rsidRPr="00DD3DD7">
      <w:fldChar w:fldCharType="end"/>
    </w:r>
    <w:r w:rsidRPr="00DD3DD7">
      <w:t xml:space="preserve"> -</w:t>
    </w:r>
  </w:p>
  <w:p w:rsidR="00544326" w:rsidRPr="00DD3DD7" w:rsidP="00DD3DD7" w14:paraId="787647C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EA5B6B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6D91FA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2A0D204" w14:textId="77777777">
          <w:pPr>
            <w:jc w:val="right"/>
            <w:rPr>
              <w:b/>
              <w:color w:val="FF0000"/>
              <w:szCs w:val="16"/>
            </w:rPr>
          </w:pPr>
          <w:r>
            <w:rPr>
              <w:b/>
              <w:color w:val="FF0000"/>
              <w:szCs w:val="16"/>
            </w:rPr>
            <w:t xml:space="preserve"> </w:t>
          </w:r>
        </w:p>
      </w:tc>
    </w:tr>
    <w:tr w14:paraId="31E7B3F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65EC34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C772588" w14:textId="77777777">
          <w:pPr>
            <w:jc w:val="right"/>
            <w:rPr>
              <w:b/>
              <w:szCs w:val="16"/>
            </w:rPr>
          </w:pPr>
        </w:p>
      </w:tc>
    </w:tr>
    <w:tr w14:paraId="55748E8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0EFD16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B40A7D2" w14:textId="77777777">
          <w:pPr>
            <w:jc w:val="right"/>
            <w:rPr>
              <w:rFonts w:eastAsia="Calibri" w:cs="Times New Roman"/>
              <w:b/>
              <w:szCs w:val="16"/>
            </w:rPr>
          </w:pPr>
          <w:bookmarkStart w:id="4" w:name="bmkSymbols"/>
          <w:r w:rsidRPr="002F663C">
            <w:rPr>
              <w:rFonts w:eastAsia="Calibri" w:cs="Times New Roman"/>
              <w:b/>
              <w:szCs w:val="16"/>
            </w:rPr>
            <w:t>G/TBT/N/USA/2036/Rev.1/Add.6</w:t>
          </w:r>
          <w:bookmarkEnd w:id="4"/>
        </w:p>
        <w:p w:rsidR="00C14444" w:rsidRPr="00C14444" w:rsidP="00C14444" w14:paraId="6A72E97F" w14:textId="77777777">
          <w:pPr>
            <w:jc w:val="center"/>
            <w:rPr>
              <w:szCs w:val="16"/>
            </w:rPr>
          </w:pPr>
        </w:p>
      </w:tc>
    </w:tr>
    <w:tr w14:paraId="5010D31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38D496D" w14:textId="77777777"/>
      </w:tc>
      <w:tc>
        <w:tcPr>
          <w:tcW w:w="5448" w:type="dxa"/>
          <w:gridSpan w:val="2"/>
          <w:shd w:val="clear" w:color="auto" w:fill="FFFFFF"/>
          <w:tcMar>
            <w:left w:w="108" w:type="dxa"/>
            <w:right w:w="108" w:type="dxa"/>
          </w:tcMar>
          <w:vAlign w:val="center"/>
        </w:tcPr>
        <w:p w:rsidR="00ED54E0" w:rsidRPr="00182B84" w:rsidP="00425DC5" w14:paraId="0E46E020" w14:textId="77777777">
          <w:pPr>
            <w:jc w:val="right"/>
            <w:rPr>
              <w:szCs w:val="16"/>
            </w:rPr>
          </w:pPr>
          <w:bookmarkStart w:id="5" w:name="bmkDate"/>
          <w:r w:rsidRPr="00182B84">
            <w:rPr>
              <w:szCs w:val="16"/>
            </w:rPr>
            <w:t>8 July 2026</w:t>
          </w:r>
          <w:bookmarkEnd w:id="5"/>
        </w:p>
      </w:tc>
    </w:tr>
    <w:tr w14:paraId="1F89C6A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07FCED0" w14:textId="77777777">
          <w:pPr>
            <w:jc w:val="left"/>
            <w:rPr>
              <w:b/>
            </w:rPr>
          </w:pPr>
          <w:bookmarkStart w:id="6" w:name="bmkSerial"/>
          <w:r>
            <w:rPr>
              <w:rFonts w:ascii="Verdana" w:eastAsia="Verdana" w:hAnsi="Verdana" w:cs="Verdana"/>
              <w:b w:val="0"/>
              <w:color w:val="FF0000"/>
              <w:sz w:val="18"/>
            </w:rPr>
            <w:t>(26-4894)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22DBBC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3</w:t>
          </w:r>
          <w:r w:rsidRPr="00182B84">
            <w:rPr>
              <w:bCs/>
              <w:szCs w:val="16"/>
            </w:rPr>
            <w:fldChar w:fldCharType="end"/>
          </w:r>
        </w:p>
      </w:tc>
    </w:tr>
    <w:tr w14:paraId="6647D91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3974DE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E93C70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D5F6C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2594822">
    <w:abstractNumId w:val="9"/>
  </w:num>
  <w:num w:numId="2" w16cid:durableId="1496335158">
    <w:abstractNumId w:val="7"/>
  </w:num>
  <w:num w:numId="3" w16cid:durableId="2079934191">
    <w:abstractNumId w:val="6"/>
  </w:num>
  <w:num w:numId="4" w16cid:durableId="296766966">
    <w:abstractNumId w:val="5"/>
  </w:num>
  <w:num w:numId="5" w16cid:durableId="335769512">
    <w:abstractNumId w:val="4"/>
  </w:num>
  <w:num w:numId="6" w16cid:durableId="607352961">
    <w:abstractNumId w:val="12"/>
  </w:num>
  <w:num w:numId="7" w16cid:durableId="1701708542">
    <w:abstractNumId w:val="11"/>
  </w:num>
  <w:num w:numId="8" w16cid:durableId="1117991415">
    <w:abstractNumId w:val="10"/>
  </w:num>
  <w:num w:numId="9" w16cid:durableId="1813978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997019">
    <w:abstractNumId w:val="13"/>
  </w:num>
  <w:num w:numId="11" w16cid:durableId="1391222808">
    <w:abstractNumId w:val="8"/>
  </w:num>
  <w:num w:numId="12" w16cid:durableId="506989308">
    <w:abstractNumId w:val="3"/>
  </w:num>
  <w:num w:numId="13" w16cid:durableId="1897626039">
    <w:abstractNumId w:val="2"/>
  </w:num>
  <w:num w:numId="14" w16cid:durableId="2093698795">
    <w:abstractNumId w:val="1"/>
  </w:num>
  <w:num w:numId="15" w16cid:durableId="1178422139">
    <w:abstractNumId w:val="0"/>
  </w:num>
  <w:num w:numId="16" w16cid:durableId="1580984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15844"/>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0DC7"/>
    <w:rsid w:val="00724E52"/>
    <w:rsid w:val="00745146"/>
    <w:rsid w:val="007577E3"/>
    <w:rsid w:val="00760003"/>
    <w:rsid w:val="00760DB3"/>
    <w:rsid w:val="00771C40"/>
    <w:rsid w:val="007755FC"/>
    <w:rsid w:val="00782B32"/>
    <w:rsid w:val="00782EF4"/>
    <w:rsid w:val="00787DBC"/>
    <w:rsid w:val="00795D8A"/>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0AC9"/>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09B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2.arb.ca.gov/sites/default/files/barcu/regact/2025/orhdlcfs/15d2_app%20a-3.2.docx" TargetMode="External" /><Relationship Id="rId11" Type="http://schemas.openxmlformats.org/officeDocument/2006/relationships/hyperlink" Target="https://ww2.arb.ca.gov/sites/default/files/barcu/regact/2025/orhdlcfs/15d2_app%20a-3.3.docx" TargetMode="External" /><Relationship Id="rId12" Type="http://schemas.openxmlformats.org/officeDocument/2006/relationships/hyperlink" Target="https://ww2.arb.ca.gov/sites/default/files/barcu/regact/2025/orhdlcfs/15d2_app%20a-5.1.pdf" TargetMode="External" /><Relationship Id="rId13" Type="http://schemas.openxmlformats.org/officeDocument/2006/relationships/hyperlink" Target="https://ww2.arb.ca.gov/sites/default/files/barcu/regact/2025/orhdlcfs/15d2_app%20a-5.2.docx" TargetMode="External" /><Relationship Id="rId14" Type="http://schemas.openxmlformats.org/officeDocument/2006/relationships/hyperlink" Target="https://ww2.arb.ca.gov/sites/default/files/barcu/regact/2025/orhdlcfs/15d2_app%20a-5.3.docx" TargetMode="External" /><Relationship Id="rId15" Type="http://schemas.openxmlformats.org/officeDocument/2006/relationships/hyperlink" Target="https://ww2.arb.ca.gov/sites/default/files/barcu/regact/2025/orhdlcfs/15d2_app%20a-8.1.pdf" TargetMode="External" /><Relationship Id="rId16" Type="http://schemas.openxmlformats.org/officeDocument/2006/relationships/hyperlink" Target="https://ww2.arb.ca.gov/sites/default/files/barcu/regact/2025/orhdlcfs/15d2_app%20a-8.2.docx" TargetMode="External" /><Relationship Id="rId17" Type="http://schemas.openxmlformats.org/officeDocument/2006/relationships/hyperlink" Target="https://ww2.arb.ca.gov/sites/default/files/barcu/regact/2025/orhdlcfs/15d2_app%20a-8.3.docx" TargetMode="External" /><Relationship Id="rId18" Type="http://schemas.openxmlformats.org/officeDocument/2006/relationships/hyperlink" Target="https://ww2.arb.ca.gov/sites/default/files/barcu/regact/2025/orhdlcfs/2018%20zev%20test%20procedures.pdf" TargetMode="External" /><Relationship Id="rId19" Type="http://schemas.openxmlformats.org/officeDocument/2006/relationships/hyperlink" Target="https://ww2.arb.ca.gov/sites/default/files/barcu/regact/2025/orhdlcfs/2009%20performance%20label%20specs.PDF" TargetMode="External" /><Relationship Id="rId2" Type="http://schemas.openxmlformats.org/officeDocument/2006/relationships/settings" Target="settings.xml" /><Relationship Id="rId20" Type="http://schemas.openxmlformats.org/officeDocument/2006/relationships/hyperlink" Target="https://ww2.arb.ca.gov/sites/default/files/barcu/regact/2025/orhdlcfs/2014%20clean%20fuels%20test%20procedures.pdf" TargetMode="External" /><Relationship Id="rId21" Type="http://schemas.openxmlformats.org/officeDocument/2006/relationships/hyperlink" Target="mailto:usatbtep@nist.gov" TargetMode="External" /><Relationship Id="rId22" Type="http://schemas.openxmlformats.org/officeDocument/2006/relationships/hyperlink" Target="http://time-time.net/times/time-zones/usa-canada/current-eastern-time-est.php" TargetMode="External" /><Relationship Id="rId23" Type="http://schemas.openxmlformats.org/officeDocument/2006/relationships/hyperlink" Target="https://time.is/et" TargetMode="External" /><Relationship Id="rId24" Type="http://schemas.openxmlformats.org/officeDocument/2006/relationships/hyperlink" Target="https://carb.commentinput.com/?id=pDaE58US3" TargetMode="External" /><Relationship Id="rId25" Type="http://schemas.openxmlformats.org/officeDocument/2006/relationships/hyperlink" Target="https://carb.commentinput.com/comment/extra?id=pDaE58US3"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webSettings" Target="webSettings.xml" /><Relationship Id="rId30" Type="http://schemas.openxmlformats.org/officeDocument/2006/relationships/header" Target="head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modification/26_03538_00_e.pdf" TargetMode="External" /><Relationship Id="rId7" Type="http://schemas.openxmlformats.org/officeDocument/2006/relationships/hyperlink" Target="https://ww2.arb.ca.gov/rulemaking/2025/orhdomnibus" TargetMode="External" /><Relationship Id="rId8" Type="http://schemas.openxmlformats.org/officeDocument/2006/relationships/hyperlink" Target="https://ww2.arb.ca.gov/sites/default/files/barcu/regact/2025/orhdlcfs/2nd15d_notice.pdf" TargetMode="External" /><Relationship Id="rId9" Type="http://schemas.openxmlformats.org/officeDocument/2006/relationships/hyperlink" Target="https://ww2.arb.ca.gov/sites/default/files/barcu/regact/2025/orhdlcfs/15d2_app%20a-3.1.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3</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2026-07-08T10:07:00Z</dcterms:created>
  <dcterms:modified xsi:type="dcterms:W3CDTF">2026-07-08T10:07:00Z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