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C70F82" w14:textId="77777777">
      <w:pPr>
        <w:pStyle w:val="Title"/>
        <w:rPr>
          <w:caps w:val="0"/>
          <w:kern w:val="0"/>
        </w:rPr>
      </w:pPr>
      <w:r w:rsidRPr="002F6A28">
        <w:rPr>
          <w:caps w:val="0"/>
          <w:kern w:val="0"/>
        </w:rPr>
        <w:t>NOTIFICATION</w:t>
      </w:r>
    </w:p>
    <w:p w:rsidR="009239F7" w:rsidRPr="002F6A28" w:rsidP="002F6A28" w14:paraId="5BAADA46" w14:textId="77777777">
      <w:pPr>
        <w:jc w:val="center"/>
      </w:pPr>
      <w:r w:rsidRPr="002F6A28">
        <w:t>The following notification is being circulated in accordance with Article 10.6</w:t>
      </w:r>
    </w:p>
    <w:p w:rsidR="009239F7" w:rsidRPr="002F6A28" w:rsidP="002F6A28" w14:paraId="4484866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032B02" w14:textId="77777777" w:rsidTr="00DB13FE">
        <w:tblPrEx>
          <w:tblW w:w="5000" w:type="pct"/>
          <w:tblLayout w:type="fixed"/>
          <w:tblLook w:val="0000"/>
        </w:tblPrEx>
        <w:tc>
          <w:tcPr>
            <w:tcW w:w="607" w:type="dxa"/>
            <w:tcBorders>
              <w:top w:val="double" w:sz="4" w:space="0" w:color="auto"/>
            </w:tcBorders>
          </w:tcPr>
          <w:p w:rsidR="00F85C99" w:rsidRPr="002F6A28" w:rsidP="002F6A28" w14:paraId="2B25B2A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438D34" w14:textId="77777777">
            <w:pPr>
              <w:spacing w:before="120" w:after="120"/>
            </w:pPr>
            <w:r w:rsidRPr="002F6A28">
              <w:rPr>
                <w:b/>
              </w:rPr>
              <w:t>Notifying Member:</w:t>
            </w:r>
            <w:r w:rsidRPr="00C92678" w:rsidR="00EE3A11">
              <w:t xml:space="preserve"> </w:t>
            </w:r>
            <w:r w:rsidRPr="00C92678" w:rsidR="00EE3A11">
              <w:rPr>
                <w:u w:val="single"/>
              </w:rPr>
              <w:t>TÜRKIYE</w:t>
            </w:r>
          </w:p>
          <w:p w:rsidR="00F85C99" w:rsidRPr="002F6A28" w:rsidP="002F6A28" w14:paraId="1A8CEA3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6CF94D" w14:textId="77777777" w:rsidTr="00DB13FE">
        <w:tblPrEx>
          <w:tblW w:w="5000" w:type="pct"/>
          <w:tblLayout w:type="fixed"/>
          <w:tblLook w:val="0000"/>
        </w:tblPrEx>
        <w:tc>
          <w:tcPr>
            <w:tcW w:w="607" w:type="dxa"/>
          </w:tcPr>
          <w:p w:rsidR="00F85C99" w:rsidRPr="002F6A28" w:rsidP="002F6A28" w14:paraId="3395C771" w14:textId="77777777">
            <w:pPr>
              <w:spacing w:before="120" w:after="120"/>
              <w:jc w:val="left"/>
            </w:pPr>
            <w:r w:rsidRPr="002F6A28">
              <w:rPr>
                <w:b/>
              </w:rPr>
              <w:t>2.</w:t>
            </w:r>
          </w:p>
        </w:tc>
        <w:tc>
          <w:tcPr>
            <w:tcW w:w="8373" w:type="dxa"/>
          </w:tcPr>
          <w:p w:rsidR="00F85C99" w:rsidRPr="002F6A28" w:rsidP="000C3B6C" w14:paraId="1410FA1E" w14:textId="77777777">
            <w:pPr>
              <w:spacing w:before="120" w:after="120"/>
            </w:pPr>
            <w:r w:rsidRPr="002F6A28">
              <w:rPr>
                <w:b/>
              </w:rPr>
              <w:t>Agency responsible:</w:t>
            </w:r>
            <w:r w:rsidRPr="00C379C8" w:rsidR="00EE3A11">
              <w:t xml:space="preserve"> </w:t>
            </w:r>
          </w:p>
          <w:p w:rsidR="00EE3A11" w:rsidRPr="00C379C8" w:rsidP="000C3B6C" w14:paraId="6A580FFC" w14:textId="77777777">
            <w:r w:rsidRPr="00C379C8">
              <w:t>Ministry of Industry and Technology</w:t>
            </w:r>
          </w:p>
          <w:p w:rsidR="00EE3A11" w:rsidRPr="00E91209" w:rsidP="000C3B6C" w14:paraId="4F6A3480" w14:textId="77777777">
            <w:pPr>
              <w:spacing w:after="120"/>
              <w:rPr>
                <w:lang w:val="es-ES"/>
              </w:rPr>
            </w:pPr>
            <w:r w:rsidRPr="00C379C8">
              <w:t xml:space="preserve">DG for EU and Foreign Affairs Mustafa Kemal Mah. </w:t>
            </w:r>
            <w:r w:rsidRPr="00E91209">
              <w:rPr>
                <w:lang w:val="es-ES"/>
              </w:rPr>
              <w:t xml:space="preserve">Dumlupinar Bulvari Eskişehir Yolu 2151. Cad. No:154 Cankaya - Ankara/ Türkiye E-mail: </w:t>
            </w:r>
            <w:hyperlink r:id="rId6" w:history="1">
              <w:r w:rsidRPr="00E91209">
                <w:rPr>
                  <w:color w:val="0000FF"/>
                  <w:u w:val="single"/>
                  <w:lang w:val="es-ES"/>
                </w:rPr>
                <w:t>busra.tufan@sanayi.gov.tr</w:t>
              </w:r>
            </w:hyperlink>
            <w:r w:rsidRPr="00E91209">
              <w:rPr>
                <w:lang w:val="es-ES"/>
              </w:rPr>
              <w:t xml:space="preserve"> E-mail 2: </w:t>
            </w:r>
            <w:hyperlink r:id="rId7" w:history="1">
              <w:r w:rsidRPr="00E91209">
                <w:rPr>
                  <w:color w:val="0000FF"/>
                  <w:u w:val="single"/>
                  <w:lang w:val="es-ES"/>
                </w:rPr>
                <w:t>aysenur.gokturk@sanayi.gov.tr</w:t>
              </w:r>
            </w:hyperlink>
          </w:p>
        </w:tc>
      </w:tr>
      <w:tr w14:paraId="23390461" w14:textId="77777777" w:rsidTr="00DB13FE">
        <w:tblPrEx>
          <w:tblW w:w="5000" w:type="pct"/>
          <w:tblLayout w:type="fixed"/>
          <w:tblLook w:val="0000"/>
        </w:tblPrEx>
        <w:tc>
          <w:tcPr>
            <w:tcW w:w="607" w:type="dxa"/>
          </w:tcPr>
          <w:p w:rsidR="00F85C99" w:rsidRPr="002F6A28" w:rsidP="002F6A28" w14:paraId="47A4E0E7" w14:textId="77777777">
            <w:pPr>
              <w:spacing w:before="120" w:after="120"/>
              <w:jc w:val="left"/>
              <w:rPr>
                <w:b/>
              </w:rPr>
            </w:pPr>
            <w:r w:rsidRPr="002F6A28">
              <w:rPr>
                <w:b/>
              </w:rPr>
              <w:t>3.</w:t>
            </w:r>
          </w:p>
        </w:tc>
        <w:tc>
          <w:tcPr>
            <w:tcW w:w="8373" w:type="dxa"/>
          </w:tcPr>
          <w:p w:rsidR="00F85C99" w:rsidRPr="0058336F" w:rsidP="002F6A28" w14:paraId="1B54E74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159DB83" w14:textId="77777777" w:rsidTr="00DB13FE">
        <w:tblPrEx>
          <w:tblW w:w="5000" w:type="pct"/>
          <w:tblLayout w:type="fixed"/>
          <w:tblLook w:val="0000"/>
        </w:tblPrEx>
        <w:tc>
          <w:tcPr>
            <w:tcW w:w="607" w:type="dxa"/>
          </w:tcPr>
          <w:p w:rsidR="00F85C99" w:rsidRPr="002F6A28" w:rsidP="002F6A28" w14:paraId="5D69CD8F" w14:textId="77777777">
            <w:pPr>
              <w:spacing w:before="120" w:after="120"/>
              <w:jc w:val="left"/>
            </w:pPr>
            <w:r w:rsidRPr="002F6A28">
              <w:rPr>
                <w:b/>
              </w:rPr>
              <w:t>4.</w:t>
            </w:r>
          </w:p>
        </w:tc>
        <w:tc>
          <w:tcPr>
            <w:tcW w:w="8373" w:type="dxa"/>
          </w:tcPr>
          <w:p w:rsidR="00E1614E" w:rsidP="002F6A28" w14:paraId="5FFD18E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EE3A11" w:rsidRPr="00C379C8" w:rsidP="002F6A28" w14:paraId="78B5A776" w14:textId="394E38B6">
            <w:pPr>
              <w:spacing w:before="120" w:after="120"/>
            </w:pPr>
            <w:r w:rsidRPr="00C379C8">
              <w:t>(</w:t>
            </w:r>
            <w:r w:rsidR="00E1614E">
              <w:t>1</w:t>
            </w:r>
            <w:r w:rsidRPr="00C379C8">
              <w:t xml:space="preserve">) This Communiqué covers external power supplies (EPS), battery chargers for portable batteries of general use, </w:t>
            </w:r>
            <w:r w:rsidRPr="00C379C8" w:rsidR="005001CB">
              <w:t>wireless chargers, wireless charging pads and USB Type-C cables.</w:t>
            </w:r>
          </w:p>
          <w:p w:rsidR="00EE3A11" w:rsidRPr="00C379C8" w:rsidP="002F6A28" w14:paraId="6BE6453D" w14:textId="7196F564">
            <w:pPr>
              <w:spacing w:before="120" w:after="120"/>
            </w:pPr>
            <w:r w:rsidRPr="00C379C8">
              <w:t>(</w:t>
            </w:r>
            <w:r w:rsidR="00E1614E">
              <w:t>2</w:t>
            </w:r>
            <w:r w:rsidRPr="00C379C8">
              <w:t>) This Communiqué shall not apply to:</w:t>
            </w:r>
          </w:p>
          <w:p w:rsidR="00EE3A11" w:rsidRPr="00C379C8" w:rsidP="002F6A28" w14:paraId="6B2A7158" w14:textId="55B94C05">
            <w:pPr>
              <w:spacing w:before="120" w:after="120"/>
            </w:pPr>
            <w:r w:rsidRPr="00C379C8">
              <w:t>a) uninterruptible power supplies, meaning devices that automatically provide backup power from storage when the</w:t>
            </w:r>
            <w:r w:rsidR="00E1614E">
              <w:t xml:space="preserve"> </w:t>
            </w:r>
            <w:r w:rsidRPr="00C379C8">
              <w:t>electrical power from the mains power source drops to an unacceptable voltage level;</w:t>
            </w:r>
          </w:p>
          <w:p w:rsidR="00EE3A11" w:rsidRPr="00C379C8" w:rsidP="002F6A28" w14:paraId="7F0380E4" w14:textId="6B7DF486">
            <w:pPr>
              <w:spacing w:before="120" w:after="120"/>
            </w:pPr>
            <w:r w:rsidRPr="00C379C8">
              <w:t>b) except for separate control gears in battery-operated products referred to in subparagraph (c) of Article 2 of Annex</w:t>
            </w:r>
            <w:r w:rsidR="00E1614E">
              <w:t xml:space="preserve"> </w:t>
            </w:r>
            <w:r w:rsidRPr="00C379C8">
              <w:t>III of the Communiqué on Ecodesign Requirements for Light Sources and Separate Control Equipment</w:t>
            </w:r>
            <w:r w:rsidR="00E1614E">
              <w:t xml:space="preserve"> </w:t>
            </w:r>
            <w:r w:rsidRPr="00C379C8">
              <w:t>(2019/2020/EU) (SGM:2021/11), published in the Official Gazette dated 6/8/2021 and numbered 31560, and not</w:t>
            </w:r>
            <w:r w:rsidR="00E1614E">
              <w:t xml:space="preserve"> </w:t>
            </w:r>
            <w:r w:rsidRPr="00C379C8">
              <w:t>subject to any other exemption referred to in Annex III, the separate control gears defined in subparagraph (c) of the</w:t>
            </w:r>
            <w:r w:rsidR="00E1614E">
              <w:t xml:space="preserve"> </w:t>
            </w:r>
            <w:r w:rsidRPr="00C379C8">
              <w:t>first paragraph of Article 5,</w:t>
            </w:r>
          </w:p>
          <w:p w:rsidR="00EE3A11" w:rsidRPr="00C379C8" w:rsidP="002F6A28" w14:paraId="4474954D" w14:textId="77777777">
            <w:pPr>
              <w:spacing w:before="120" w:after="120"/>
            </w:pPr>
            <w:r w:rsidRPr="00C379C8">
              <w:t>c) separate control gears for luminaires for emergency lighting,</w:t>
            </w:r>
          </w:p>
          <w:p w:rsidR="00EE3A11" w:rsidRPr="00C379C8" w:rsidP="002F6A28" w14:paraId="47908928" w14:textId="77777777">
            <w:pPr>
              <w:spacing w:before="120" w:after="120"/>
            </w:pPr>
            <w:r w:rsidRPr="00C379C8">
              <w:t>ç) separate control gears for low luminous flux light sources;</w:t>
            </w:r>
          </w:p>
          <w:p w:rsidR="00EE3A11" w:rsidRPr="00C379C8" w:rsidP="002F6A28" w14:paraId="5B7E61D8" w14:textId="4DD78BFC">
            <w:pPr>
              <w:spacing w:before="120" w:after="120"/>
            </w:pPr>
            <w:r w:rsidRPr="00C379C8">
              <w:t>d) EPS designed, tested and marketed to be used exclusively with medical devices, as defined in Medical Devices</w:t>
            </w:r>
            <w:r w:rsidR="00E1614E">
              <w:t xml:space="preserve"> </w:t>
            </w:r>
            <w:r w:rsidRPr="00C379C8">
              <w:t>Regulation published in the Official Gazette dated 2/6/2021 and numbered 31499,</w:t>
            </w:r>
          </w:p>
          <w:p w:rsidR="00EE3A11" w:rsidRPr="00C379C8" w:rsidP="002F6A28" w14:paraId="353137EA" w14:textId="7825CB6A">
            <w:pPr>
              <w:spacing w:before="120" w:after="120"/>
            </w:pPr>
            <w:r w:rsidRPr="00C379C8">
              <w:t>e) docking stations for autonomous appliances, meaning devices in which a battery-operated appliance that executes</w:t>
            </w:r>
            <w:r w:rsidR="00E1614E">
              <w:t xml:space="preserve"> </w:t>
            </w:r>
            <w:r w:rsidRPr="00C379C8">
              <w:t>tasks requiring the appliance to move without any user intervention places itself for charging;</w:t>
            </w:r>
          </w:p>
          <w:p w:rsidR="00EE3A11" w:rsidRPr="00C379C8" w:rsidP="002F6A28" w14:paraId="3C3AD224" w14:textId="77777777">
            <w:pPr>
              <w:spacing w:before="120" w:after="120"/>
            </w:pPr>
            <w:r w:rsidRPr="00C379C8">
              <w:t>f) EPS designed, tested and marketed to be used exclusively with means of transport for persons or goods;</w:t>
            </w:r>
          </w:p>
          <w:p w:rsidR="00EE3A11" w:rsidRPr="00C379C8" w:rsidP="00E1614E" w14:paraId="0B547003" w14:textId="6D539097">
            <w:pPr>
              <w:spacing w:before="120" w:after="120"/>
            </w:pPr>
            <w:r w:rsidRPr="00C379C8">
              <w:t>g) consumer products for which the primary load of the converted voltage within the consumer products themselves</w:t>
            </w:r>
            <w:r w:rsidR="00E1614E">
              <w:t xml:space="preserve"> </w:t>
            </w:r>
            <w:r w:rsidRPr="00C379C8">
              <w:t>is not supplied to a separate end-use product.</w:t>
            </w:r>
          </w:p>
        </w:tc>
      </w:tr>
      <w:tr w14:paraId="29055512" w14:textId="77777777" w:rsidTr="00DB13FE">
        <w:tblPrEx>
          <w:tblW w:w="5000" w:type="pct"/>
          <w:tblLayout w:type="fixed"/>
          <w:tblLook w:val="0000"/>
        </w:tblPrEx>
        <w:tc>
          <w:tcPr>
            <w:tcW w:w="607" w:type="dxa"/>
          </w:tcPr>
          <w:p w:rsidR="00F85C99" w:rsidRPr="002F6A28" w:rsidP="002F6A28" w14:paraId="2F4701D0" w14:textId="77777777">
            <w:pPr>
              <w:spacing w:before="120" w:after="120"/>
              <w:jc w:val="left"/>
            </w:pPr>
            <w:r w:rsidRPr="002F6A28">
              <w:rPr>
                <w:b/>
              </w:rPr>
              <w:t>5.</w:t>
            </w:r>
          </w:p>
        </w:tc>
        <w:tc>
          <w:tcPr>
            <w:tcW w:w="8373" w:type="dxa"/>
          </w:tcPr>
          <w:p w:rsidR="00F85C99" w:rsidP="002F6A28" w14:paraId="521D5E8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COMMUNIQUÉ (2025/2052/EU) (DGI-2026/..) ON ECODESIGN REQUIREMENTS FOR EXTERNAL POWER SUPPLIES, WIRELESS CHARGERS, WIRELESS CHARGING PADS, BATTERY CHARGERS FOR PORTABLE BATTERIES OF GENERAL USE AND USB TYPE-C CABLES; (40 page(s), in English)</w:t>
            </w:r>
          </w:p>
          <w:p w:rsidR="000C3B6C" w:rsidRPr="000C3B6C" w:rsidP="002F6A28" w14:paraId="4BBF61D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B1690" w:rsidRPr="00CE6C29" w:rsidP="002F6A28" w14:paraId="0818586F"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https://members.wto.org/crnattachments/2026/TBT/TUR/26_03329_00_e.pdf</w:t>
              </w:r>
            </w:hyperlink>
          </w:p>
        </w:tc>
      </w:tr>
      <w:tr w14:paraId="43F14C46" w14:textId="77777777" w:rsidTr="00DB13FE">
        <w:tblPrEx>
          <w:tblW w:w="5000" w:type="pct"/>
          <w:tblLayout w:type="fixed"/>
          <w:tblLook w:val="0000"/>
        </w:tblPrEx>
        <w:tc>
          <w:tcPr>
            <w:tcW w:w="607" w:type="dxa"/>
          </w:tcPr>
          <w:p w:rsidR="00F85C99" w:rsidRPr="002F6A28" w:rsidP="002F6A28" w14:paraId="4C9D5699" w14:textId="77777777">
            <w:pPr>
              <w:spacing w:before="120" w:after="120"/>
              <w:jc w:val="left"/>
              <w:rPr>
                <w:b/>
              </w:rPr>
            </w:pPr>
            <w:r w:rsidRPr="002F6A28">
              <w:rPr>
                <w:b/>
              </w:rPr>
              <w:t>6.</w:t>
            </w:r>
          </w:p>
        </w:tc>
        <w:tc>
          <w:tcPr>
            <w:tcW w:w="8373" w:type="dxa"/>
          </w:tcPr>
          <w:p w:rsidR="00F85C99" w:rsidRPr="002F6A28" w:rsidP="002F6A28" w14:paraId="4B101B3A" w14:textId="77777777">
            <w:pPr>
              <w:spacing w:before="120" w:after="120"/>
              <w:rPr>
                <w:b/>
              </w:rPr>
            </w:pPr>
            <w:r w:rsidRPr="002F6A28">
              <w:rPr>
                <w:b/>
              </w:rPr>
              <w:t>Description of content:</w:t>
            </w:r>
            <w:r w:rsidRPr="00C379C8" w:rsidR="00FE448B">
              <w:t xml:space="preserve"> (1) The purpose of this Communiqué is to lay down ecodesign requirements for the placing on the market or putting into service of external power supplies (EPS), battery chargers for portable batteries of general use, wireless chargers, wireless charging pads and USB Type-C cable pursuant to the implementation of the Regulation on the Ecodesign of Energy-Related Products, which entered into force by Presidential Decree No. 5187 dated February 4, 2022.</w:t>
            </w:r>
          </w:p>
        </w:tc>
      </w:tr>
      <w:tr w14:paraId="66EC003F" w14:textId="77777777" w:rsidTr="00DB13FE">
        <w:tblPrEx>
          <w:tblW w:w="5000" w:type="pct"/>
          <w:tblLayout w:type="fixed"/>
          <w:tblLook w:val="0000"/>
        </w:tblPrEx>
        <w:tc>
          <w:tcPr>
            <w:tcW w:w="607" w:type="dxa"/>
          </w:tcPr>
          <w:p w:rsidR="00F85C99" w:rsidRPr="002F6A28" w:rsidP="002F6A28" w14:paraId="1B07E8DB" w14:textId="77777777">
            <w:pPr>
              <w:spacing w:before="120" w:after="120"/>
              <w:jc w:val="left"/>
              <w:rPr>
                <w:b/>
              </w:rPr>
            </w:pPr>
            <w:r w:rsidRPr="002F6A28">
              <w:rPr>
                <w:b/>
              </w:rPr>
              <w:t>7.</w:t>
            </w:r>
          </w:p>
        </w:tc>
        <w:tc>
          <w:tcPr>
            <w:tcW w:w="8373" w:type="dxa"/>
          </w:tcPr>
          <w:p w:rsidR="00F85C99" w:rsidRPr="002F6A28" w:rsidP="002F6A28" w14:paraId="197CE1B8" w14:textId="77777777">
            <w:pPr>
              <w:spacing w:before="120" w:after="120"/>
              <w:rPr>
                <w:b/>
              </w:rPr>
            </w:pPr>
            <w:r w:rsidRPr="002F6A28">
              <w:rPr>
                <w:b/>
              </w:rPr>
              <w:t>Objective and rationale, including the nature of urgent problems where applicable:</w:t>
            </w:r>
            <w:r w:rsidRPr="00C379C8" w:rsidR="00EE3A11">
              <w:t xml:space="preserve"> Harmonization</w:t>
            </w:r>
          </w:p>
        </w:tc>
      </w:tr>
      <w:tr w14:paraId="4FD68483" w14:textId="77777777" w:rsidTr="00DB13FE">
        <w:tblPrEx>
          <w:tblW w:w="5000" w:type="pct"/>
          <w:tblLayout w:type="fixed"/>
          <w:tblLook w:val="0000"/>
        </w:tblPrEx>
        <w:tc>
          <w:tcPr>
            <w:tcW w:w="607" w:type="dxa"/>
          </w:tcPr>
          <w:p w:rsidR="00F85C99" w:rsidRPr="002F6A28" w:rsidP="009E75ED" w14:paraId="06D257C4" w14:textId="77777777">
            <w:pPr>
              <w:spacing w:before="120" w:after="120"/>
              <w:jc w:val="left"/>
              <w:rPr>
                <w:b/>
              </w:rPr>
            </w:pPr>
            <w:r w:rsidRPr="002F6A28">
              <w:rPr>
                <w:b/>
              </w:rPr>
              <w:t>8.</w:t>
            </w:r>
          </w:p>
        </w:tc>
        <w:tc>
          <w:tcPr>
            <w:tcW w:w="8373" w:type="dxa"/>
          </w:tcPr>
          <w:p w:rsidR="00EE3A11" w:rsidRPr="002F6A28" w:rsidP="00E1614E" w14:paraId="48BE83E3" w14:textId="07690F9C">
            <w:pPr>
              <w:spacing w:before="120" w:after="120"/>
            </w:pPr>
            <w:r w:rsidRPr="002F6A28">
              <w:rPr>
                <w:b/>
              </w:rPr>
              <w:t>Relevant documents:</w:t>
            </w:r>
            <w:r w:rsidRPr="002F6A28">
              <w:t xml:space="preserve"> </w:t>
            </w:r>
            <w:r w:rsidR="00E1614E">
              <w:t xml:space="preserve"> </w:t>
            </w:r>
            <w:r w:rsidRPr="002F6A28">
              <w:t>-</w:t>
            </w:r>
          </w:p>
        </w:tc>
      </w:tr>
      <w:tr w14:paraId="10F2FD55" w14:textId="77777777" w:rsidTr="00DB13FE">
        <w:tblPrEx>
          <w:tblW w:w="5000" w:type="pct"/>
          <w:tblLayout w:type="fixed"/>
          <w:tblLook w:val="0000"/>
        </w:tblPrEx>
        <w:tc>
          <w:tcPr>
            <w:tcW w:w="607" w:type="dxa"/>
          </w:tcPr>
          <w:p w:rsidR="00EE3A11" w:rsidRPr="002F6A28" w:rsidP="002F6A28" w14:paraId="73A688C0" w14:textId="77777777">
            <w:pPr>
              <w:spacing w:before="120" w:after="120"/>
              <w:jc w:val="left"/>
              <w:rPr>
                <w:b/>
              </w:rPr>
            </w:pPr>
            <w:r w:rsidRPr="002F6A28">
              <w:rPr>
                <w:b/>
              </w:rPr>
              <w:t>9.</w:t>
            </w:r>
          </w:p>
        </w:tc>
        <w:tc>
          <w:tcPr>
            <w:tcW w:w="8373" w:type="dxa"/>
          </w:tcPr>
          <w:p w:rsidR="00EE3A11" w:rsidRPr="002F6A28" w:rsidP="008953C4" w14:paraId="56D934EB" w14:textId="77777777">
            <w:pPr>
              <w:spacing w:before="120" w:after="120"/>
            </w:pPr>
            <w:r w:rsidRPr="002F6A28">
              <w:rPr>
                <w:b/>
              </w:rPr>
              <w:t>Proposed date of adoption:</w:t>
            </w:r>
            <w:r w:rsidRPr="00C379C8">
              <w:t xml:space="preserve"> (1) This Communiqué shall enter into force; </w:t>
            </w:r>
          </w:p>
          <w:p w:rsidR="005B1690" w:rsidRPr="00C379C8" w:rsidP="008953C4" w14:paraId="65D00F48" w14:textId="77777777">
            <w:pPr>
              <w:spacing w:before="120" w:after="120"/>
            </w:pPr>
            <w:r w:rsidRPr="00C379C8">
              <w:t>a) for the third paragraph of Transitional Article 1 on the date of its publication,</w:t>
            </w:r>
          </w:p>
          <w:p w:rsidR="005B1690" w:rsidRPr="00C379C8" w:rsidP="008953C4" w14:paraId="79E73D48" w14:textId="77777777">
            <w:pPr>
              <w:spacing w:before="120" w:after="120"/>
            </w:pPr>
            <w:r w:rsidRPr="00C379C8">
              <w:t>b) for other provisions on 14/12/2028.</w:t>
            </w:r>
          </w:p>
          <w:p w:rsidR="00EE3A11" w:rsidRPr="002F6A28" w:rsidP="008953C4" w14:paraId="3726E439" w14:textId="77777777">
            <w:pPr>
              <w:spacing w:after="120"/>
            </w:pPr>
            <w:r w:rsidRPr="002F6A28">
              <w:rPr>
                <w:b/>
              </w:rPr>
              <w:t>Proposed date of entry into force:</w:t>
            </w:r>
            <w:r w:rsidRPr="00C379C8">
              <w:t xml:space="preserve"> (1) This Communiqué shall enter into force; </w:t>
            </w:r>
          </w:p>
          <w:p w:rsidR="005B1690" w:rsidRPr="00C379C8" w:rsidP="008953C4" w14:paraId="6A0E3C4A" w14:textId="77777777">
            <w:pPr>
              <w:spacing w:after="120"/>
            </w:pPr>
            <w:r w:rsidRPr="00C379C8">
              <w:t>a) for the third paragraph of Transitional Article 1 on the date of its publication,</w:t>
            </w:r>
          </w:p>
          <w:p w:rsidR="005B1690" w:rsidRPr="00C379C8" w:rsidP="008953C4" w14:paraId="3F2BDE11" w14:textId="77777777">
            <w:pPr>
              <w:spacing w:after="120"/>
            </w:pPr>
            <w:r w:rsidRPr="00C379C8">
              <w:t>b) for other provisions on 14/12/2028.</w:t>
            </w:r>
          </w:p>
        </w:tc>
      </w:tr>
      <w:tr w14:paraId="3482D09C" w14:textId="77777777" w:rsidTr="00DB13FE">
        <w:tblPrEx>
          <w:tblW w:w="5000" w:type="pct"/>
          <w:tblLayout w:type="fixed"/>
          <w:tblLook w:val="0000"/>
        </w:tblPrEx>
        <w:tc>
          <w:tcPr>
            <w:tcW w:w="607" w:type="dxa"/>
            <w:tcBorders>
              <w:bottom w:val="double" w:sz="4" w:space="0" w:color="auto"/>
            </w:tcBorders>
          </w:tcPr>
          <w:p w:rsidR="00F85C99" w:rsidRPr="002F6A28" w:rsidP="002F6A28" w14:paraId="54ED607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9ADD7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D2E2FF0" w14:textId="77777777">
            <w:pPr>
              <w:spacing w:before="120" w:after="120"/>
              <w:rPr>
                <w:bCs/>
              </w:rPr>
            </w:pPr>
            <w:r w:rsidRPr="002F6A28">
              <w:rPr>
                <w:b/>
              </w:rPr>
              <w:t>Final date for comments:</w:t>
            </w:r>
            <w:r w:rsidRPr="00C379C8" w:rsidR="00EE3A11">
              <w:t xml:space="preserve"> 28 August 2026</w:t>
            </w:r>
          </w:p>
          <w:p w:rsidR="000C3B6C" w:rsidRPr="00E3324D" w:rsidP="000C3B6C" w14:paraId="0FF1D5A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B9DCB0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F83565C" w14:textId="77777777">
            <w:r w:rsidRPr="00CE6C29">
              <w:t>Ministry of Trade</w:t>
            </w:r>
          </w:p>
          <w:p w:rsidR="00CE6C29" w:rsidRPr="00CE6C29" w:rsidP="000C3B6C" w14:paraId="6C9500CE" w14:textId="77777777">
            <w:r w:rsidRPr="00CE6C29">
              <w:t>DG Product Safety and Inspection</w:t>
            </w:r>
          </w:p>
          <w:p w:rsidR="00CE6C29" w:rsidRPr="00CE6C29" w:rsidP="000C3B6C" w14:paraId="2B4CC291" w14:textId="77777777">
            <w:r w:rsidRPr="00CE6C29">
              <w:t>T.C. Ticaret Bakanligi</w:t>
            </w:r>
          </w:p>
          <w:p w:rsidR="00CE6C29" w:rsidRPr="00E91209" w:rsidP="000C3B6C" w14:paraId="3AD10586" w14:textId="77777777">
            <w:pPr>
              <w:rPr>
                <w:lang w:val="es-ES"/>
              </w:rPr>
            </w:pPr>
            <w:r w:rsidRPr="00CE6C29">
              <w:t xml:space="preserve">Söðütözü Mah. 2176. </w:t>
            </w:r>
            <w:r w:rsidRPr="00E91209">
              <w:rPr>
                <w:lang w:val="es-ES"/>
              </w:rPr>
              <w:t>Sk.</w:t>
            </w:r>
          </w:p>
          <w:p w:rsidR="00CE6C29" w:rsidRPr="00E91209" w:rsidP="000C3B6C" w14:paraId="7FCDBF24" w14:textId="77777777">
            <w:pPr>
              <w:rPr>
                <w:lang w:val="es-ES"/>
              </w:rPr>
            </w:pPr>
            <w:r w:rsidRPr="00E91209">
              <w:rPr>
                <w:lang w:val="es-ES"/>
              </w:rPr>
              <w:t>No:63, Çankaya</w:t>
            </w:r>
          </w:p>
          <w:p w:rsidR="00CE6C29" w:rsidRPr="00E91209" w:rsidP="000C3B6C" w14:paraId="132AC3A3" w14:textId="77777777">
            <w:pPr>
              <w:rPr>
                <w:lang w:val="es-ES"/>
              </w:rPr>
            </w:pPr>
            <w:r w:rsidRPr="00E91209">
              <w:rPr>
                <w:lang w:val="es-ES"/>
              </w:rPr>
              <w:t>Ankara, 06530</w:t>
            </w:r>
          </w:p>
          <w:p w:rsidR="00CE6C29" w:rsidRPr="00E91209" w:rsidP="000C3B6C" w14:paraId="6AA00BEB" w14:textId="77777777">
            <w:pPr>
              <w:rPr>
                <w:lang w:val="es-ES"/>
              </w:rPr>
            </w:pPr>
            <w:r w:rsidRPr="00E91209">
              <w:rPr>
                <w:lang w:val="es-ES"/>
              </w:rPr>
              <w:t>06530</w:t>
            </w:r>
          </w:p>
          <w:p w:rsidR="00CE6C29" w:rsidRPr="00E91209" w:rsidP="000C3B6C" w14:paraId="18F6300F" w14:textId="77777777">
            <w:pPr>
              <w:rPr>
                <w:lang w:val="es-ES"/>
              </w:rPr>
            </w:pPr>
            <w:r w:rsidRPr="00E91209">
              <w:rPr>
                <w:lang w:val="es-ES"/>
              </w:rPr>
              <w:t>Tel: +(90 312) 204 89 75; +(90 312) 204 9286</w:t>
            </w:r>
          </w:p>
          <w:p w:rsidR="00CE6C29" w:rsidRPr="00E91209" w:rsidP="000C3B6C" w14:paraId="379E6254" w14:textId="77777777">
            <w:pPr>
              <w:rPr>
                <w:lang w:val="fr-CH"/>
              </w:rPr>
            </w:pPr>
            <w:r w:rsidRPr="00E91209">
              <w:rPr>
                <w:lang w:val="fr-CH"/>
              </w:rPr>
              <w:t>Fax: +(90 312) 212 87 68; +(90 312) 204 86 38</w:t>
            </w:r>
          </w:p>
          <w:p w:rsidR="00CE6C29" w:rsidRPr="00E91209" w:rsidP="000C3B6C" w14:paraId="522EF0CE" w14:textId="77777777">
            <w:pPr>
              <w:rPr>
                <w:lang w:val="fr-CH"/>
              </w:rPr>
            </w:pPr>
            <w:r w:rsidRPr="00E91209">
              <w:rPr>
                <w:lang w:val="fr-CH"/>
              </w:rPr>
              <w:t xml:space="preserve">Email: </w:t>
            </w:r>
            <w:hyperlink r:id="rId9" w:history="1">
              <w:r w:rsidRPr="00E91209">
                <w:rPr>
                  <w:color w:val="0000FF"/>
                  <w:u w:val="single"/>
                  <w:lang w:val="fr-CH"/>
                </w:rPr>
                <w:t>tbt@ticaret.gov.tr</w:t>
              </w:r>
            </w:hyperlink>
          </w:p>
          <w:p w:rsidR="00CE6C29" w:rsidRPr="00CE6C29" w:rsidP="000C3B6C" w14:paraId="6DD8E2D4" w14:textId="77777777">
            <w:pPr>
              <w:spacing w:after="120"/>
            </w:pPr>
            <w:r w:rsidRPr="00CE6C29">
              <w:t xml:space="preserve">Website: </w:t>
            </w:r>
            <w:hyperlink r:id="rId10" w:tgtFrame="_blank" w:history="1">
              <w:r w:rsidRPr="00CE6C29">
                <w:rPr>
                  <w:color w:val="0000FF"/>
                  <w:u w:val="single"/>
                </w:rPr>
                <w:t>https://teknikengel.ticaret.gov.tr/</w:t>
              </w:r>
            </w:hyperlink>
          </w:p>
        </w:tc>
      </w:tr>
    </w:tbl>
    <w:p w:rsidR="00EE3A11" w:rsidRPr="002F6A28" w:rsidP="00887259" w14:paraId="1989B23D"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D6B27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907D8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21EFF5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5BDE0F" w14:textId="77777777">
    <w:pPr>
      <w:pStyle w:val="Header"/>
      <w:pBdr>
        <w:bottom w:val="single" w:sz="4" w:space="1" w:color="auto"/>
      </w:pBdr>
      <w:tabs>
        <w:tab w:val="clear" w:pos="4513"/>
        <w:tab w:val="clear" w:pos="9027"/>
      </w:tabs>
      <w:jc w:val="center"/>
    </w:pPr>
    <w:r w:rsidRPr="002F6A28">
      <w:t>tbtSymbol</w:t>
    </w:r>
  </w:p>
  <w:p w:rsidR="009239F7" w:rsidRPr="002F6A28" w:rsidP="009239F7" w14:paraId="6F62D7B6" w14:textId="77777777">
    <w:pPr>
      <w:pStyle w:val="Header"/>
      <w:pBdr>
        <w:bottom w:val="single" w:sz="4" w:space="1" w:color="auto"/>
      </w:pBdr>
      <w:tabs>
        <w:tab w:val="clear" w:pos="4513"/>
        <w:tab w:val="clear" w:pos="9027"/>
      </w:tabs>
      <w:jc w:val="center"/>
    </w:pPr>
  </w:p>
  <w:p w:rsidR="009239F7" w:rsidRPr="002F6A28" w:rsidP="009239F7" w14:paraId="3DFA61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7738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FB8268" w14:textId="77777777">
    <w:pPr>
      <w:pStyle w:val="Header"/>
      <w:pBdr>
        <w:bottom w:val="single" w:sz="4" w:space="1" w:color="auto"/>
      </w:pBdr>
      <w:tabs>
        <w:tab w:val="clear" w:pos="4513"/>
        <w:tab w:val="clear" w:pos="9027"/>
      </w:tabs>
      <w:jc w:val="center"/>
    </w:pPr>
    <w:bookmarkStart w:id="0" w:name="spsSymbolHeader"/>
    <w:r w:rsidRPr="002F6A28">
      <w:t>G/TBT/N/TUR/239</w:t>
    </w:r>
    <w:bookmarkEnd w:id="0"/>
  </w:p>
  <w:p w:rsidR="009239F7" w:rsidRPr="002F6A28" w:rsidP="009239F7" w14:paraId="00C69817" w14:textId="77777777">
    <w:pPr>
      <w:pStyle w:val="Header"/>
      <w:pBdr>
        <w:bottom w:val="single" w:sz="4" w:space="1" w:color="auto"/>
      </w:pBdr>
      <w:tabs>
        <w:tab w:val="clear" w:pos="4513"/>
        <w:tab w:val="clear" w:pos="9027"/>
      </w:tabs>
      <w:jc w:val="center"/>
    </w:pPr>
  </w:p>
  <w:p w:rsidR="009239F7" w:rsidRPr="002F6A28" w:rsidP="009239F7" w14:paraId="5DC568B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94E534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0C880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3560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CCEC29A" w14:textId="77777777">
          <w:pPr>
            <w:jc w:val="right"/>
            <w:rPr>
              <w:b/>
              <w:color w:val="FF0000"/>
              <w:szCs w:val="16"/>
            </w:rPr>
          </w:pPr>
        </w:p>
      </w:tc>
    </w:tr>
    <w:bookmarkEnd w:id="1"/>
    <w:tr w14:paraId="25A06B9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CA64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9712B8C" w14:textId="77777777">
          <w:pPr>
            <w:jc w:val="right"/>
            <w:rPr>
              <w:b/>
              <w:szCs w:val="16"/>
            </w:rPr>
          </w:pPr>
        </w:p>
      </w:tc>
    </w:tr>
    <w:tr w14:paraId="490A803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64CF9A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12DF3A" w14:textId="77777777">
          <w:pPr>
            <w:jc w:val="right"/>
            <w:rPr>
              <w:b/>
              <w:szCs w:val="16"/>
            </w:rPr>
          </w:pPr>
          <w:bookmarkStart w:id="2" w:name="bmkSymbols"/>
          <w:r w:rsidRPr="002F6A28">
            <w:rPr>
              <w:b/>
              <w:szCs w:val="16"/>
            </w:rPr>
            <w:t>G/TBT/N/TUR/239</w:t>
          </w:r>
          <w:bookmarkEnd w:id="2"/>
        </w:p>
      </w:tc>
    </w:tr>
    <w:tr w14:paraId="09BDB40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E4ECFC" w14:textId="77777777"/>
      </w:tc>
      <w:tc>
        <w:tcPr>
          <w:tcW w:w="5448" w:type="dxa"/>
          <w:gridSpan w:val="2"/>
          <w:shd w:val="clear" w:color="auto" w:fill="FFFFFF"/>
          <w:tcMar>
            <w:left w:w="108" w:type="dxa"/>
            <w:right w:w="108" w:type="dxa"/>
          </w:tcMar>
          <w:vAlign w:val="center"/>
        </w:tcPr>
        <w:p w:rsidR="00ED54E0" w:rsidRPr="009239F7" w:rsidP="00B801E9" w14:paraId="13644BD4" w14:textId="77777777">
          <w:pPr>
            <w:jc w:val="right"/>
            <w:rPr>
              <w:szCs w:val="16"/>
            </w:rPr>
          </w:pPr>
          <w:bookmarkStart w:id="3" w:name="spsDateDistribution"/>
          <w:bookmarkStart w:id="4" w:name="bmkDate"/>
          <w:r w:rsidRPr="009239F7">
            <w:rPr>
              <w:szCs w:val="16"/>
            </w:rPr>
            <w:t>29 June 2026</w:t>
          </w:r>
          <w:bookmarkEnd w:id="3"/>
          <w:bookmarkEnd w:id="4"/>
        </w:p>
      </w:tc>
    </w:tr>
    <w:tr w14:paraId="4B5FD7B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B0F465" w14:textId="77777777">
          <w:pPr>
            <w:jc w:val="left"/>
            <w:rPr>
              <w:b/>
            </w:rPr>
          </w:pPr>
          <w:bookmarkStart w:id="5" w:name="bmkSerial"/>
          <w:r>
            <w:rPr>
              <w:rFonts w:ascii="Verdana" w:eastAsia="Verdana" w:hAnsi="Verdana" w:cs="Verdana"/>
              <w:b w:val="0"/>
              <w:color w:val="FF0000"/>
              <w:sz w:val="18"/>
            </w:rPr>
            <w:t>(26-4674)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89C9DD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32BCC7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6E41B9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80356F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24F0A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1760196">
    <w:abstractNumId w:val="9"/>
  </w:num>
  <w:num w:numId="2" w16cid:durableId="1104618484">
    <w:abstractNumId w:val="7"/>
  </w:num>
  <w:num w:numId="3" w16cid:durableId="1529027453">
    <w:abstractNumId w:val="6"/>
  </w:num>
  <w:num w:numId="4" w16cid:durableId="139924735">
    <w:abstractNumId w:val="5"/>
  </w:num>
  <w:num w:numId="5" w16cid:durableId="895510900">
    <w:abstractNumId w:val="4"/>
  </w:num>
  <w:num w:numId="6" w16cid:durableId="1019894047">
    <w:abstractNumId w:val="12"/>
  </w:num>
  <w:num w:numId="7" w16cid:durableId="1610350902">
    <w:abstractNumId w:val="11"/>
  </w:num>
  <w:num w:numId="8" w16cid:durableId="1371297740">
    <w:abstractNumId w:val="10"/>
  </w:num>
  <w:num w:numId="9" w16cid:durableId="12596786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6852960">
    <w:abstractNumId w:val="13"/>
  </w:num>
  <w:num w:numId="11" w16cid:durableId="1573082430">
    <w:abstractNumId w:val="8"/>
  </w:num>
  <w:num w:numId="12" w16cid:durableId="293220601">
    <w:abstractNumId w:val="3"/>
  </w:num>
  <w:num w:numId="13" w16cid:durableId="853807843">
    <w:abstractNumId w:val="2"/>
  </w:num>
  <w:num w:numId="14" w16cid:durableId="1779981391">
    <w:abstractNumId w:val="1"/>
  </w:num>
  <w:num w:numId="15" w16cid:durableId="653994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C3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001CB"/>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1690"/>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614E"/>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1209"/>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BA166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knikengel.ticaret.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usra.tufan@sanayi.gov.tr" TargetMode="External" /><Relationship Id="rId7" Type="http://schemas.openxmlformats.org/officeDocument/2006/relationships/hyperlink" Target="mailto:aysenur.gokturk@sanayi.gov.tr" TargetMode="External" /><Relationship Id="rId8" Type="http://schemas.openxmlformats.org/officeDocument/2006/relationships/hyperlink" Target="https://members.wto.org/crnattachments/2026/TBT/TUR/26_03329_00_e.pdf" TargetMode="External" /><Relationship Id="rId9" Type="http://schemas.openxmlformats.org/officeDocument/2006/relationships/hyperlink" Target="mailto:tbt@ticaret.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B514827-1CC5-41A0-8FE5-1CCF9B7A9FB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2026-06-29T08:32:00Z</dcterms:created>
  <dcterms:modified xsi:type="dcterms:W3CDTF">2026-06-29T08:34:00Z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