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3336D4" w:rsidP="00D31A79" w14:paraId="3549E90B" w14:textId="77777777">
      <w:pPr>
        <w:pStyle w:val="Title"/>
      </w:pPr>
      <w:r w:rsidRPr="003336D4">
        <w:t>NOTIFICATION</w:t>
      </w:r>
    </w:p>
    <w:p w:rsidR="002F663C" w:rsidRPr="003336D4" w:rsidP="00D31A79" w14:paraId="6F7E2655" w14:textId="77777777">
      <w:pPr>
        <w:pStyle w:val="Title3"/>
      </w:pPr>
      <w:r w:rsidRPr="003336D4">
        <w:t>Addendum</w:t>
      </w:r>
    </w:p>
    <w:p w:rsidR="002F663C" w:rsidRPr="003336D4" w:rsidP="00B22706" w14:paraId="559174D4" w14:textId="77777777">
      <w:r w:rsidRPr="003336D4">
        <w:t xml:space="preserve">La communication ci-après, datée du 25 juin 2026, est distribuée à la demande de la délégation du </w:t>
      </w:r>
      <w:r w:rsidRPr="003336D4">
        <w:rPr>
          <w:u w:val="single"/>
        </w:rPr>
        <w:t>Nicaragua</w:t>
      </w:r>
      <w:r w:rsidRPr="003336D4">
        <w:t>.</w:t>
      </w:r>
    </w:p>
    <w:p w:rsidR="00B22706" w:rsidRPr="003336D4" w:rsidP="00B22706" w14:paraId="483BBCDC" w14:textId="77777777">
      <w:pPr>
        <w:rPr>
          <w:rFonts w:eastAsia="Calibri" w:cs="Times New Roman"/>
        </w:rPr>
      </w:pPr>
    </w:p>
    <w:p w:rsidR="002F663C" w:rsidRPr="00F93C73" w:rsidP="00EF68C9" w14:paraId="36C92794" w14:textId="77777777">
      <w:pPr>
        <w:jc w:val="center"/>
        <w:rPr>
          <w:b/>
          <w:lang w:val="es-ES_tradnl"/>
        </w:rPr>
      </w:pPr>
      <w:r w:rsidRPr="00F93C73">
        <w:rPr>
          <w:b/>
          <w:lang w:val="es-ES_tradnl"/>
        </w:rPr>
        <w:t>_______________</w:t>
      </w:r>
    </w:p>
    <w:p w:rsidR="002F663C" w:rsidRPr="00F93C73" w:rsidP="00EF68C9" w14:paraId="5E002292" w14:textId="77777777">
      <w:pPr>
        <w:rPr>
          <w:lang w:val="es-ES_tradnl"/>
        </w:rPr>
      </w:pPr>
    </w:p>
    <w:p w:rsidR="00B22706" w:rsidRPr="00F93C73" w:rsidP="00EF68C9" w14:paraId="463B11A8" w14:textId="77777777">
      <w:pPr>
        <w:rPr>
          <w:lang w:val="es-ES_tradnl"/>
        </w:rPr>
      </w:pPr>
    </w:p>
    <w:p w:rsidR="002F663C" w:rsidRPr="003336D4" w:rsidP="00EF68C9" w14:paraId="632132F8" w14:textId="13651671">
      <w:pPr>
        <w:spacing w:after="120"/>
        <w:rPr>
          <w:rFonts w:eastAsia="Calibri" w:cs="Times New Roman"/>
          <w:b/>
          <w:szCs w:val="18"/>
        </w:rPr>
      </w:pPr>
      <w:r w:rsidRPr="00F93C73">
        <w:rPr>
          <w:b/>
          <w:bCs/>
          <w:lang w:val="es-ES_tradnl"/>
        </w:rPr>
        <w:t>Titre</w:t>
      </w:r>
      <w:r w:rsidRPr="00F93C73" w:rsidR="003336A2">
        <w:rPr>
          <w:lang w:val="es-ES_tradnl"/>
        </w:rPr>
        <w:t xml:space="preserve">: </w:t>
      </w:r>
      <w:r w:rsidRPr="00F93C73" w:rsidR="003336A2">
        <w:rPr>
          <w:i/>
          <w:iCs/>
          <w:lang w:val="es-ES_tradnl"/>
        </w:rPr>
        <w:t xml:space="preserve">NTON 18001 Manejo sostenible Bosques Naturales de Latifoliados y de Coníferas. </w:t>
      </w:r>
      <w:r w:rsidRPr="003336D4" w:rsidR="003336A2">
        <w:rPr>
          <w:i/>
          <w:iCs/>
        </w:rPr>
        <w:t xml:space="preserve">Directrices </w:t>
      </w:r>
      <w:r w:rsidRPr="003336D4" w:rsidR="003336A2">
        <w:rPr>
          <w:i/>
          <w:iCs/>
        </w:rPr>
        <w:t>técnicas</w:t>
      </w:r>
      <w:r w:rsidRPr="003336D4" w:rsidR="003336A2">
        <w:rPr>
          <w:i/>
          <w:iCs/>
        </w:rPr>
        <w:t>.</w:t>
      </w:r>
      <w:r w:rsidRPr="003336D4" w:rsidR="003336A2">
        <w:t xml:space="preserve"> (Norme technique obligatoire nicaraguayenne 18001. Gestion durable des forêts naturelles de latifoliés et de conifères. Directives techniques.)</w:t>
      </w:r>
    </w:p>
    <w:p w:rsidR="002F663C" w:rsidRPr="003336D4" w:rsidP="00EF68C9" w14:paraId="0BAD453D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4392B486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1145F34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3336D4">
              <w:rPr>
                <w:b/>
              </w:rPr>
              <w:t>Motif de l'addendum:</w:t>
            </w:r>
          </w:p>
        </w:tc>
      </w:tr>
      <w:tr w14:paraId="3618475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E24485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3336D4">
              <w:t>[ ]</w:t>
            </w:r>
          </w:p>
        </w:tc>
        <w:tc>
          <w:tcPr>
            <w:tcW w:w="8057" w:type="dxa"/>
          </w:tcPr>
          <w:p w:rsidR="002F663C" w:rsidRPr="00EF68C9" w:rsidP="00442BDE" w14:paraId="00F79B95" w14:textId="77777777">
            <w:pPr>
              <w:spacing w:before="60" w:after="60"/>
              <w:rPr>
                <w:rFonts w:eastAsia="Calibri" w:cs="Times New Roman"/>
              </w:rPr>
            </w:pPr>
            <w:r w:rsidRPr="003336D4">
              <w:t xml:space="preserve">Modification du délai pour la présentation des observations - date: </w:t>
            </w:r>
          </w:p>
        </w:tc>
      </w:tr>
      <w:tr w14:paraId="6EF8E77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C74E45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3336D4">
              <w:t>[ ]</w:t>
            </w:r>
          </w:p>
        </w:tc>
        <w:tc>
          <w:tcPr>
            <w:tcW w:w="8057" w:type="dxa"/>
          </w:tcPr>
          <w:p w:rsidR="002F663C" w:rsidRPr="00EF68C9" w:rsidP="00745CBF" w14:paraId="0B69A558" w14:textId="77777777">
            <w:pPr>
              <w:spacing w:before="60" w:after="60"/>
              <w:rPr>
                <w:rFonts w:eastAsia="Calibri" w:cs="Times New Roman"/>
              </w:rPr>
            </w:pPr>
            <w:r w:rsidRPr="003336D4">
              <w:t xml:space="preserve">Adoption de la mesure notifiée - date: </w:t>
            </w:r>
          </w:p>
        </w:tc>
      </w:tr>
      <w:tr w14:paraId="1EB0055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DD50A3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3336D4">
              <w:t>[ ]</w:t>
            </w:r>
          </w:p>
        </w:tc>
        <w:tc>
          <w:tcPr>
            <w:tcW w:w="8057" w:type="dxa"/>
          </w:tcPr>
          <w:p w:rsidR="002F663C" w:rsidRPr="00EF68C9" w:rsidP="00745CBF" w14:paraId="50F6949C" w14:textId="77777777">
            <w:pPr>
              <w:spacing w:before="60" w:after="60"/>
              <w:rPr>
                <w:rFonts w:eastAsia="Calibri" w:cs="Times New Roman"/>
              </w:rPr>
            </w:pPr>
            <w:r w:rsidRPr="003336D4">
              <w:t xml:space="preserve">Publication de la mesure notifiée – date: </w:t>
            </w:r>
          </w:p>
        </w:tc>
      </w:tr>
      <w:tr w14:paraId="048D0E9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1C94D7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3336D4">
              <w:t>[ ]</w:t>
            </w:r>
          </w:p>
        </w:tc>
        <w:tc>
          <w:tcPr>
            <w:tcW w:w="8057" w:type="dxa"/>
          </w:tcPr>
          <w:p w:rsidR="002F663C" w:rsidRPr="00EF68C9" w:rsidP="00745CBF" w14:paraId="02AEBCC9" w14:textId="77777777">
            <w:pPr>
              <w:spacing w:before="60" w:after="60"/>
              <w:rPr>
                <w:rFonts w:eastAsia="Calibri" w:cs="Times New Roman"/>
              </w:rPr>
            </w:pPr>
            <w:r w:rsidRPr="003336D4">
              <w:t xml:space="preserve">Entrée en vigueur de la mesure notifiée - date: </w:t>
            </w:r>
          </w:p>
        </w:tc>
      </w:tr>
      <w:tr w14:paraId="0BAEBD6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2765B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3336D4">
              <w:t>[ ]</w:t>
            </w:r>
          </w:p>
        </w:tc>
        <w:tc>
          <w:tcPr>
            <w:tcW w:w="8057" w:type="dxa"/>
          </w:tcPr>
          <w:p w:rsidR="002F663C" w:rsidRPr="00EF68C9" w:rsidP="00442BDE" w14:paraId="0196A7C4" w14:textId="77777777">
            <w:pPr>
              <w:spacing w:before="60" w:after="60"/>
              <w:rPr>
                <w:rFonts w:eastAsia="Calibri" w:cs="Times New Roman"/>
              </w:rPr>
            </w:pPr>
            <w:r w:rsidRPr="003336D4">
              <w:t>Accès au texte final de la mesure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3336D4">
              <w:t xml:space="preserve">: </w:t>
            </w:r>
          </w:p>
        </w:tc>
      </w:tr>
      <w:tr w14:paraId="5D13B85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9A57E5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3336D4">
              <w:t>[ ]</w:t>
            </w:r>
          </w:p>
        </w:tc>
        <w:tc>
          <w:tcPr>
            <w:tcW w:w="8057" w:type="dxa"/>
          </w:tcPr>
          <w:p w:rsidR="00EF68C9" w:rsidRPr="003336D4" w:rsidP="00444BD5" w14:paraId="6CEC895F" w14:textId="77777777">
            <w:pPr>
              <w:spacing w:before="60" w:after="60"/>
              <w:rPr>
                <w:rFonts w:eastAsia="Calibri" w:cs="Times New Roman"/>
              </w:rPr>
            </w:pPr>
            <w:r w:rsidRPr="003336D4">
              <w:t xml:space="preserve">Retrait ou abrogation de la mesure notifiée - date: </w:t>
            </w:r>
          </w:p>
          <w:p w:rsidR="002F663C" w:rsidRPr="00EF68C9" w:rsidP="00444BD5" w14:paraId="495F0370" w14:textId="77777777">
            <w:pPr>
              <w:spacing w:before="60" w:after="60"/>
              <w:rPr>
                <w:rFonts w:eastAsia="Calibri" w:cs="Times New Roman"/>
              </w:rPr>
            </w:pPr>
            <w:r w:rsidRPr="003336D4">
              <w:t xml:space="preserve">Cote pertinente si la mesure fait l'objet d'une nouvelle notification: </w:t>
            </w:r>
          </w:p>
        </w:tc>
      </w:tr>
      <w:tr w14:paraId="5F3BAC7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89343C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3336D4">
              <w:t>[X]</w:t>
            </w:r>
          </w:p>
        </w:tc>
        <w:tc>
          <w:tcPr>
            <w:tcW w:w="8057" w:type="dxa"/>
          </w:tcPr>
          <w:p w:rsidR="00EF68C9" w:rsidRPr="003336D4" w:rsidP="00745CBF" w14:paraId="249C449F" w14:textId="77777777">
            <w:pPr>
              <w:spacing w:before="60" w:after="120"/>
              <w:rPr>
                <w:rFonts w:eastAsia="Calibri" w:cs="Times New Roman"/>
              </w:rPr>
            </w:pPr>
            <w:r w:rsidRPr="003336D4">
              <w:t>Modification de la teneur ou du champ d'application de la mesure notifiée et accès au texte</w:t>
            </w:r>
            <w:r w:rsidRPr="003336D4">
              <w:rPr>
                <w:vertAlign w:val="superscript"/>
              </w:rPr>
              <w:t>1</w:t>
            </w:r>
            <w:r w:rsidRPr="003336D4">
              <w:t xml:space="preserve">: </w:t>
            </w:r>
          </w:p>
          <w:p w:rsidR="005127D6" w:rsidRPr="003336D4" w:rsidP="00745CBF" w14:paraId="1A014FFF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3336D4">
                <w:rPr>
                  <w:color w:val="0000FF"/>
                  <w:u w:val="single"/>
                </w:rPr>
                <w:t>https://members.wto.org/crnattachments/2026/TBT/NIC/modification/26_03311_00_s.pdf</w:t>
              </w:r>
            </w:hyperlink>
          </w:p>
          <w:p w:rsidR="002F663C" w:rsidRPr="00EF68C9" w14:paraId="3F66A102" w14:textId="77777777">
            <w:pPr>
              <w:spacing w:before="60" w:after="60"/>
              <w:rPr>
                <w:rFonts w:eastAsia="Calibri" w:cs="Times New Roman"/>
              </w:rPr>
            </w:pPr>
            <w:r w:rsidRPr="003336D4">
              <w:t>Nouveau délai pour la présentation des observations (le cas échéant): 30 jours à compter de la date de notification</w:t>
            </w:r>
          </w:p>
        </w:tc>
      </w:tr>
      <w:tr w14:paraId="6F1CFD8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0F54D3F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3336D4"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44543FB6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3336D4">
              <w:t>Publication de directives d'interprétation et accès au texte</w:t>
            </w:r>
            <w:r w:rsidRPr="003336D4" w:rsidR="00A91F44">
              <w:rPr>
                <w:vertAlign w:val="superscript"/>
              </w:rPr>
              <w:fldChar w:fldCharType="begin"/>
            </w:r>
            <w:r w:rsidRPr="003336D4" w:rsidR="00A91F44">
              <w:rPr>
                <w:vertAlign w:val="superscript"/>
              </w:rPr>
              <w:instrText xml:space="preserve"> NOTEREF _Ref40866906 \h  \* MERGEFORMAT </w:instrText>
            </w:r>
            <w:r w:rsidRPr="003336D4" w:rsidR="00A91F44">
              <w:rPr>
                <w:vertAlign w:val="superscript"/>
              </w:rPr>
              <w:fldChar w:fldCharType="separate"/>
            </w:r>
            <w:r w:rsidRPr="003336D4" w:rsidR="00A91F44">
              <w:rPr>
                <w:vertAlign w:val="superscript"/>
              </w:rPr>
              <w:t>1</w:t>
            </w:r>
            <w:r w:rsidRPr="003336D4" w:rsidR="00A91F44">
              <w:rPr>
                <w:vertAlign w:val="superscript"/>
              </w:rPr>
              <w:fldChar w:fldCharType="end"/>
            </w:r>
            <w:r w:rsidRPr="003336D4">
              <w:t xml:space="preserve">: </w:t>
            </w:r>
          </w:p>
        </w:tc>
      </w:tr>
      <w:tr w14:paraId="2A8BE38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46384BF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3336D4"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3336D4" w:rsidP="00444BD5" w14:paraId="78C7F842" w14:textId="77777777">
            <w:pPr>
              <w:spacing w:before="60" w:after="60"/>
              <w:rPr>
                <w:rFonts w:eastAsia="Calibri" w:cs="Times New Roman"/>
              </w:rPr>
            </w:pPr>
            <w:r w:rsidRPr="003336D4">
              <w:t xml:space="preserve">Autres: </w:t>
            </w:r>
          </w:p>
        </w:tc>
      </w:tr>
    </w:tbl>
    <w:p w:rsidR="002F663C" w:rsidRPr="003336D4" w:rsidP="00EF68C9" w14:paraId="53A48D14" w14:textId="77777777"/>
    <w:p w:rsidR="003918E9" w:rsidRPr="003336D4" w:rsidP="00B03883" w14:paraId="6AC52CB4" w14:textId="3036282F">
      <w:pPr>
        <w:spacing w:after="120"/>
      </w:pPr>
      <w:r w:rsidRPr="003336D4">
        <w:rPr>
          <w:b/>
          <w:bCs/>
        </w:rPr>
        <w:t>Description</w:t>
      </w:r>
      <w:r w:rsidRPr="003336D4">
        <w:t xml:space="preserve">: Le gouvernement de la République du Nicaragua indique qu'il a notifié le projet de règlement </w:t>
      </w:r>
      <w:r w:rsidR="003336D4">
        <w:t>"</w:t>
      </w:r>
      <w:r w:rsidRPr="003336D4">
        <w:t>NTON</w:t>
      </w:r>
      <w:r w:rsidRPr="003336D4">
        <w:t xml:space="preserve"> 18 001 - 04 Norme technique obligatoire nicaraguayenne relative à la gestion durable des forêts naturelles de latifoliés et de conifères</w:t>
      </w:r>
      <w:r w:rsidR="003336D4">
        <w:t>"</w:t>
      </w:r>
      <w:r w:rsidRPr="003336D4">
        <w:t xml:space="preserve"> le 5 novembre 2004, sous la cote G/TBT/N/NIC/44, et l'addendum y relatif le 27 août 2012, sous la cote G/TBT/N/NIC/44/Add.1.</w:t>
      </w:r>
    </w:p>
    <w:p w:rsidR="00EF68C9" w:rsidRPr="003336D4" w:rsidP="00B03883" w14:paraId="2950D992" w14:textId="1EF7DEF4">
      <w:pPr>
        <w:spacing w:before="120" w:after="120"/>
      </w:pPr>
      <w:r w:rsidRPr="003336D4">
        <w:t xml:space="preserve">Le projet notifié vise à établir les directives techniques pour la gestion durable des forêts naturelles de latifoliés et de conifères, afin de favoriser la conservation, le rétablissement et l'exploitation </w:t>
      </w:r>
      <w:r w:rsidRPr="003336D4">
        <w:t>durable de ces forêts. Cette norme s'applique à toute personne physique ou morale qui exerce une activité forestière sur le territoire national.</w:t>
      </w:r>
    </w:p>
    <w:p w:rsidR="00D60927" w:rsidRPr="003336D4" w:rsidP="003918E9" w14:paraId="1DB78A56" w14:textId="77777777">
      <w:pPr>
        <w:pStyle w:val="FootnoteText"/>
        <w:jc w:val="center"/>
        <w:rPr>
          <w:sz w:val="18"/>
        </w:rPr>
      </w:pPr>
      <w:r w:rsidRPr="003336D4">
        <w:rPr>
          <w:b/>
          <w:sz w:val="18"/>
        </w:rPr>
        <w:t>__________</w:t>
      </w:r>
    </w:p>
    <w:sectPr w:rsidSect="003336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3336D4" w:rsidP="003336D4" w14:paraId="7EB3F935" w14:textId="3C160F44">
    <w:pPr>
      <w:pStyle w:val="Footer"/>
    </w:pPr>
    <w:r w:rsidRPr="003336D4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3336D4" w:rsidP="003336D4" w14:paraId="2E8F4915" w14:textId="58036DCE">
    <w:pPr>
      <w:pStyle w:val="Footer"/>
    </w:pPr>
    <w:r w:rsidRPr="003336D4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3336D4" w:rsidP="003336D4" w14:paraId="790D54E8" w14:textId="3FC4800B">
    <w:pPr>
      <w:pStyle w:val="Footer"/>
    </w:pPr>
    <w:r w:rsidRPr="003336D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336A2" w:rsidRPr="003336D4" w:rsidP="00ED54E0" w14:paraId="34F0AD85" w14:textId="77777777">
      <w:bookmarkStart w:id="0" w:name="_Hlk23403611"/>
      <w:bookmarkStart w:id="1" w:name="_Hlk23403612"/>
      <w:r w:rsidRPr="003336D4">
        <w:separator/>
      </w:r>
      <w:bookmarkEnd w:id="0"/>
      <w:bookmarkEnd w:id="1"/>
    </w:p>
  </w:footnote>
  <w:footnote w:type="continuationSeparator" w:id="1">
    <w:p w:rsidR="003336A2" w:rsidRPr="003336D4" w:rsidP="00ED54E0" w14:paraId="2667F833" w14:textId="77777777">
      <w:bookmarkStart w:id="2" w:name="_Hlk23403613"/>
      <w:bookmarkStart w:id="3" w:name="_Hlk23403614"/>
      <w:r w:rsidRPr="003336D4">
        <w:continuationSeparator/>
      </w:r>
      <w:bookmarkEnd w:id="2"/>
      <w:bookmarkEnd w:id="3"/>
    </w:p>
  </w:footnote>
  <w:footnote w:id="2">
    <w:p w:rsidR="00F95856" w:rsidRPr="003336D4" w14:paraId="27CC3E78" w14:textId="77777777">
      <w:pPr>
        <w:pStyle w:val="FootnoteText"/>
      </w:pPr>
      <w:r w:rsidRPr="003336D4">
        <w:rPr>
          <w:rStyle w:val="FootnoteReference"/>
        </w:rPr>
        <w:footnoteRef/>
      </w:r>
      <w:r w:rsidRPr="003336D4">
        <w:t xml:space="preserve"> Il est possible d'indiquer une adresse de site Web, de joindre un fichier en format </w:t>
      </w:r>
      <w:r w:rsidRPr="003336D4">
        <w:t>pdf</w:t>
      </w:r>
      <w:r w:rsidRPr="003336D4">
        <w:t xml:space="preserve"> ou de fournir tout autre renseignement permettant d'accéder au texte de la mesure finale/de la modification de la mesure et/ou des directives d'interprétation.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6D4" w:rsidRPr="00F93C73" w:rsidP="003336D4" w14:paraId="4B5B573D" w14:textId="77777777">
    <w:pPr>
      <w:pStyle w:val="Header"/>
      <w:spacing w:after="240"/>
      <w:jc w:val="center"/>
      <w:rPr>
        <w:lang w:val="en-GB"/>
      </w:rPr>
    </w:pPr>
    <w:r w:rsidRPr="00F93C73">
      <w:rPr>
        <w:lang w:val="en-GB"/>
      </w:rPr>
      <w:t>G/TBT/N/NIC/44/Add.2</w:t>
    </w:r>
  </w:p>
  <w:p w:rsidR="003336D4" w:rsidRPr="003336D4" w:rsidP="003336D4" w14:paraId="0A2EAD9C" w14:textId="77777777">
    <w:pPr>
      <w:pStyle w:val="Header"/>
      <w:pBdr>
        <w:bottom w:val="single" w:sz="4" w:space="1" w:color="auto"/>
      </w:pBdr>
      <w:jc w:val="center"/>
    </w:pPr>
    <w:r w:rsidRPr="003336D4">
      <w:t xml:space="preserve">- </w:t>
    </w:r>
    <w:r w:rsidRPr="003336D4">
      <w:fldChar w:fldCharType="begin"/>
    </w:r>
    <w:r w:rsidRPr="003336D4">
      <w:instrText xml:space="preserve"> PAGE  \* Arabic  \* MERGEFORMAT </w:instrText>
    </w:r>
    <w:r w:rsidRPr="003336D4">
      <w:fldChar w:fldCharType="separate"/>
    </w:r>
    <w:r w:rsidRPr="003336D4">
      <w:t>1</w:t>
    </w:r>
    <w:r w:rsidRPr="003336D4">
      <w:fldChar w:fldCharType="end"/>
    </w:r>
    <w:r w:rsidRPr="003336D4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6D4" w:rsidRPr="00F93C73" w:rsidP="003336D4" w14:paraId="64C1D987" w14:textId="77777777">
    <w:pPr>
      <w:pStyle w:val="Header"/>
      <w:spacing w:after="240"/>
      <w:jc w:val="center"/>
      <w:rPr>
        <w:lang w:val="en-GB"/>
      </w:rPr>
    </w:pPr>
    <w:r w:rsidRPr="00F93C73">
      <w:rPr>
        <w:lang w:val="en-GB"/>
      </w:rPr>
      <w:t>G/TBT/N/NIC/44/Add.2</w:t>
    </w:r>
  </w:p>
  <w:p w:rsidR="003336D4" w:rsidRPr="003336D4" w:rsidP="003336D4" w14:paraId="7BC30D9F" w14:textId="77777777">
    <w:pPr>
      <w:pStyle w:val="Header"/>
      <w:pBdr>
        <w:bottom w:val="single" w:sz="4" w:space="1" w:color="auto"/>
      </w:pBdr>
      <w:jc w:val="center"/>
    </w:pPr>
    <w:r w:rsidRPr="003336D4">
      <w:t xml:space="preserve">- </w:t>
    </w:r>
    <w:r w:rsidRPr="003336D4">
      <w:fldChar w:fldCharType="begin"/>
    </w:r>
    <w:r w:rsidRPr="003336D4">
      <w:instrText xml:space="preserve"> PAGE  \* Arabic  \* MERGEFORMAT </w:instrText>
    </w:r>
    <w:r w:rsidRPr="003336D4">
      <w:fldChar w:fldCharType="separate"/>
    </w:r>
    <w:r w:rsidRPr="003336D4">
      <w:t>2</w:t>
    </w:r>
    <w:r w:rsidRPr="003336D4">
      <w:fldChar w:fldCharType="end"/>
    </w:r>
    <w:r w:rsidRPr="003336D4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750"/>
      <w:gridCol w:w="2050"/>
      <w:gridCol w:w="3226"/>
    </w:tblGrid>
    <w:tr w14:paraId="290AB1BA" w14:textId="77777777" w:rsidTr="003336D4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3336D4" w:rsidRPr="003336D4" w:rsidP="003336D4" w14:paraId="526DF332" w14:textId="77777777">
          <w:pPr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3336D4" w:rsidRPr="003336D4" w:rsidP="003336D4" w14:paraId="5F17A465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19731816" w14:textId="77777777" w:rsidTr="003336D4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3336D4" w:rsidRPr="003336D4" w:rsidP="003336D4" w14:paraId="1A50E9CA" w14:textId="7C383C48">
          <w:pPr>
            <w:jc w:val="left"/>
            <w:rPr>
              <w:rFonts w:eastAsia="Verdana" w:cs="Verdana"/>
              <w:szCs w:val="18"/>
            </w:rPr>
          </w:pPr>
          <w:r w:rsidRPr="003336D4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376297" cy="720090"/>
                <wp:effectExtent l="0" t="0" r="5080" b="3810"/>
                <wp:docPr id="539363762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9363762" name="Picture 1"/>
                        <pic:cNvPicPr/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6297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3336D4" w:rsidRPr="003336D4" w:rsidP="003336D4" w14:paraId="2D25AD38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36DA2A07" w14:textId="77777777" w:rsidTr="003336D4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3336D4" w:rsidRPr="003336D4" w:rsidP="003336D4" w14:paraId="6F6FB631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3336D4" w:rsidRPr="00F93C73" w:rsidP="003336D4" w14:paraId="2BAD6A77" w14:textId="3DA19754">
          <w:pPr>
            <w:jc w:val="right"/>
            <w:rPr>
              <w:rFonts w:eastAsia="Verdana" w:cs="Verdana"/>
              <w:b/>
              <w:szCs w:val="18"/>
              <w:lang w:val="en-GB"/>
            </w:rPr>
          </w:pPr>
          <w:r w:rsidRPr="00F93C73">
            <w:rPr>
              <w:b/>
              <w:szCs w:val="18"/>
              <w:lang w:val="en-GB"/>
            </w:rPr>
            <w:t>G/TBT/N/NIC/44/Add.2</w:t>
          </w:r>
        </w:p>
      </w:tc>
    </w:tr>
    <w:tr w14:paraId="7296CDE4" w14:textId="77777777" w:rsidTr="003336D4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3336D4" w:rsidRPr="00F93C73" w:rsidP="003336D4" w14:paraId="6A8B1D5E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3336D4" w:rsidRPr="003336D4" w:rsidP="003336D4" w14:paraId="75F27C48" w14:textId="2CAC463F">
          <w:pPr>
            <w:jc w:val="right"/>
            <w:rPr>
              <w:rFonts w:eastAsia="Verdana" w:cs="Verdana"/>
              <w:szCs w:val="18"/>
            </w:rPr>
          </w:pPr>
          <w:r w:rsidRPr="003336D4">
            <w:rPr>
              <w:rFonts w:eastAsia="Verdana" w:cs="Verdana"/>
              <w:szCs w:val="18"/>
            </w:rPr>
            <w:t>26 juin 2026</w:t>
          </w:r>
        </w:p>
      </w:tc>
    </w:tr>
    <w:tr w14:paraId="504B9823" w14:textId="77777777" w:rsidTr="003336D4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3336D4" w:rsidRPr="003336D4" w:rsidP="003336D4" w14:paraId="1E6587DC" w14:textId="3D4B7376">
          <w:pPr>
            <w:jc w:val="left"/>
            <w:rPr>
              <w:rFonts w:eastAsia="Verdana" w:cs="Verdana"/>
              <w:b/>
              <w:szCs w:val="18"/>
            </w:rPr>
          </w:pPr>
          <w:r w:rsidRPr="003336D4">
            <w:rPr>
              <w:rFonts w:eastAsia="Verdana" w:cs="Verdana"/>
              <w:color w:val="FF0000"/>
              <w:szCs w:val="18"/>
            </w:rPr>
            <w:t>(26-4621)</w:t>
          </w:r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3336D4" w:rsidRPr="003336D4" w:rsidP="003336D4" w14:paraId="3819C948" w14:textId="0E5EBDDA">
          <w:pPr>
            <w:jc w:val="right"/>
            <w:rPr>
              <w:rFonts w:eastAsia="Verdana" w:cs="Verdana"/>
              <w:szCs w:val="18"/>
            </w:rPr>
          </w:pPr>
          <w:r w:rsidRPr="003336D4">
            <w:rPr>
              <w:rFonts w:eastAsia="Verdana" w:cs="Verdana"/>
              <w:szCs w:val="18"/>
            </w:rPr>
            <w:t xml:space="preserve">Page: </w:t>
          </w:r>
          <w:r w:rsidRPr="003336D4">
            <w:rPr>
              <w:rFonts w:eastAsia="Verdana" w:cs="Verdana"/>
              <w:szCs w:val="18"/>
            </w:rPr>
            <w:fldChar w:fldCharType="begin"/>
          </w:r>
          <w:r w:rsidRPr="003336D4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3336D4">
            <w:rPr>
              <w:rFonts w:eastAsia="Verdana" w:cs="Verdana"/>
              <w:szCs w:val="18"/>
            </w:rPr>
            <w:fldChar w:fldCharType="separate"/>
          </w:r>
          <w:r w:rsidRPr="003336D4">
            <w:rPr>
              <w:rFonts w:ascii="Verdana" w:eastAsia="Verdana" w:hAnsi="Verdana" w:cs="Verdana"/>
              <w:sz w:val="18"/>
              <w:szCs w:val="18"/>
              <w:lang w:val="fr-FR" w:eastAsia="en-US" w:bidi="ar-SA"/>
            </w:rPr>
            <w:t>1</w:t>
          </w:r>
          <w:r w:rsidRPr="003336D4">
            <w:rPr>
              <w:rFonts w:eastAsia="Verdana" w:cs="Verdana"/>
              <w:szCs w:val="18"/>
            </w:rPr>
            <w:fldChar w:fldCharType="end"/>
          </w:r>
          <w:r w:rsidRPr="003336D4">
            <w:rPr>
              <w:rFonts w:eastAsia="Verdana" w:cs="Verdana"/>
              <w:szCs w:val="18"/>
            </w:rPr>
            <w:t>/</w:t>
          </w:r>
          <w:r w:rsidRPr="003336D4">
            <w:rPr>
              <w:rFonts w:eastAsia="Verdana" w:cs="Verdana"/>
              <w:szCs w:val="18"/>
            </w:rPr>
            <w:fldChar w:fldCharType="begin"/>
          </w:r>
          <w:r w:rsidRPr="003336D4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3336D4">
            <w:rPr>
              <w:rFonts w:eastAsia="Verdana" w:cs="Verdana"/>
              <w:szCs w:val="18"/>
            </w:rPr>
            <w:fldChar w:fldCharType="separate"/>
          </w:r>
          <w:r w:rsidRPr="003336D4">
            <w:rPr>
              <w:rFonts w:ascii="Verdana" w:eastAsia="Verdana" w:hAnsi="Verdana" w:cs="Verdana"/>
              <w:sz w:val="18"/>
              <w:szCs w:val="18"/>
              <w:lang w:val="fr-FR" w:eastAsia="en-US" w:bidi="ar-SA"/>
            </w:rPr>
            <w:t>2</w:t>
          </w:r>
          <w:r w:rsidRPr="003336D4">
            <w:rPr>
              <w:rFonts w:eastAsia="Verdana" w:cs="Verdana"/>
              <w:szCs w:val="18"/>
            </w:rPr>
            <w:fldChar w:fldCharType="end"/>
          </w:r>
        </w:p>
      </w:tc>
    </w:tr>
    <w:tr w14:paraId="5BC942F5" w14:textId="77777777" w:rsidTr="003336D4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3336D4" w:rsidRPr="003336D4" w:rsidP="003336D4" w14:paraId="7F184D67" w14:textId="1A15E8A9">
          <w:pPr>
            <w:jc w:val="left"/>
            <w:rPr>
              <w:rFonts w:eastAsia="Verdana" w:cs="Verdana"/>
              <w:szCs w:val="18"/>
            </w:rPr>
          </w:pPr>
          <w:r w:rsidRPr="003336D4">
            <w:rPr>
              <w:b/>
              <w:szCs w:val="18"/>
            </w:rPr>
            <w:t>Comité des obstacles techniques au commerce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3336D4" w:rsidRPr="003336D4" w:rsidP="003336D4" w14:paraId="625E6EB0" w14:textId="550E3101">
          <w:pPr>
            <w:jc w:val="right"/>
            <w:rPr>
              <w:rFonts w:eastAsia="Verdana" w:cs="Verdana"/>
              <w:bCs/>
              <w:szCs w:val="18"/>
            </w:rPr>
          </w:pPr>
          <w:r w:rsidRPr="003336D4">
            <w:rPr>
              <w:rFonts w:eastAsia="Verdana" w:cs="Verdana"/>
              <w:bCs/>
              <w:szCs w:val="18"/>
            </w:rPr>
            <w:t>Original: espagnol</w:t>
          </w:r>
        </w:p>
      </w:tc>
    </w:tr>
  </w:tbl>
  <w:p w:rsidR="00ED54E0" w:rsidRPr="003336D4" w:rsidP="003336D4" w14:paraId="3D52F7C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1810485">
    <w:abstractNumId w:val="9"/>
  </w:num>
  <w:num w:numId="2" w16cid:durableId="56517379">
    <w:abstractNumId w:val="7"/>
  </w:num>
  <w:num w:numId="3" w16cid:durableId="1675768401">
    <w:abstractNumId w:val="6"/>
  </w:num>
  <w:num w:numId="4" w16cid:durableId="448864225">
    <w:abstractNumId w:val="5"/>
  </w:num>
  <w:num w:numId="5" w16cid:durableId="645627342">
    <w:abstractNumId w:val="4"/>
  </w:num>
  <w:num w:numId="6" w16cid:durableId="455100029">
    <w:abstractNumId w:val="12"/>
  </w:num>
  <w:num w:numId="7" w16cid:durableId="732002014">
    <w:abstractNumId w:val="11"/>
  </w:num>
  <w:num w:numId="8" w16cid:durableId="2124226015">
    <w:abstractNumId w:val="10"/>
  </w:num>
  <w:num w:numId="9" w16cid:durableId="9533695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4206862">
    <w:abstractNumId w:val="13"/>
  </w:num>
  <w:num w:numId="11" w16cid:durableId="553928549">
    <w:abstractNumId w:val="8"/>
  </w:num>
  <w:num w:numId="12" w16cid:durableId="944074596">
    <w:abstractNumId w:val="3"/>
  </w:num>
  <w:num w:numId="13" w16cid:durableId="1975598805">
    <w:abstractNumId w:val="2"/>
  </w:num>
  <w:num w:numId="14" w16cid:durableId="1821000185">
    <w:abstractNumId w:val="1"/>
  </w:num>
  <w:num w:numId="15" w16cid:durableId="1884634111">
    <w:abstractNumId w:val="0"/>
  </w:num>
  <w:num w:numId="16" w16cid:durableId="957757156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848F6"/>
    <w:rsid w:val="000A4945"/>
    <w:rsid w:val="000A5283"/>
    <w:rsid w:val="000B31E1"/>
    <w:rsid w:val="000C25F0"/>
    <w:rsid w:val="0011356B"/>
    <w:rsid w:val="00117DBD"/>
    <w:rsid w:val="00124403"/>
    <w:rsid w:val="0013337F"/>
    <w:rsid w:val="00166082"/>
    <w:rsid w:val="00175BCF"/>
    <w:rsid w:val="00175DD6"/>
    <w:rsid w:val="00182B84"/>
    <w:rsid w:val="00183601"/>
    <w:rsid w:val="001D319B"/>
    <w:rsid w:val="001E291F"/>
    <w:rsid w:val="001E5437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36A2"/>
    <w:rsid w:val="003336D4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E2B15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250E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561C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39A8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3C73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8B0D95"/>
  <w15:docId w15:val="{64603110-EC5D-49A8-A582-75C3E9BC3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fr-FR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fr-FR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fr-FR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fr-FR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fr-FR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fr-FR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fr-FR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fr-FR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fr-FR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fr-FR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fr-FR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fr-FR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fr-FR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fr-FR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fr-FR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fr-FR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fr-FR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fr-FR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fr-FR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fr-FR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fr-FR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fr-FR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fr-FR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fr-FR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fr-FR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fr-FR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fr-FR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fr-FR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fr-FR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fr-FR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fr-FR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NIC/modification/26_03311_00_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E0D779-1E0E-4E5C-9B0A-4C161C7B1AA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10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Mermaz, Johann</cp:lastModifiedBy>
  <cp:revision>3</cp:revision>
  <cp:lastPrinted>2019-10-31T07:40:00Z</cp:lastPrinted>
  <dcterms:created xsi:type="dcterms:W3CDTF">2026-06-26T07:51:00Z</dcterms:created>
  <dcterms:modified xsi:type="dcterms:W3CDTF">2026-06-26T11:24:00Z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