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BBF8A34" w14:textId="77777777">
      <w:pPr>
        <w:pStyle w:val="Title"/>
      </w:pPr>
      <w:r w:rsidRPr="002F663C">
        <w:t>NOTIFICATION</w:t>
      </w:r>
    </w:p>
    <w:p w:rsidR="002F663C" w:rsidRPr="002F663C" w:rsidP="00DD3DD7" w14:paraId="4E259893" w14:textId="77777777">
      <w:pPr>
        <w:pStyle w:val="Title3"/>
      </w:pPr>
      <w:r w:rsidRPr="002F663C">
        <w:t>Addendum</w:t>
      </w:r>
    </w:p>
    <w:p w:rsidR="002F663C" w:rsidP="001E2E4A" w14:paraId="135B154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284BD80D" w14:textId="77777777">
      <w:pPr>
        <w:rPr>
          <w:rFonts w:eastAsia="Calibri" w:cs="Times New Roman"/>
        </w:rPr>
      </w:pPr>
    </w:p>
    <w:p w:rsidR="002F663C" w:rsidRPr="002F663C" w:rsidP="002F663C" w14:paraId="00AC385A" w14:textId="77777777">
      <w:pPr>
        <w:jc w:val="center"/>
        <w:rPr>
          <w:rFonts w:eastAsia="Calibri" w:cs="Times New Roman"/>
          <w:b/>
        </w:rPr>
      </w:pPr>
      <w:r w:rsidRPr="002F663C">
        <w:rPr>
          <w:rFonts w:eastAsia="Calibri" w:cs="Times New Roman"/>
          <w:b/>
        </w:rPr>
        <w:t>_______________</w:t>
      </w:r>
    </w:p>
    <w:p w:rsidR="002F663C" w:rsidP="002F663C" w14:paraId="69FA8F10" w14:textId="77777777">
      <w:pPr>
        <w:rPr>
          <w:rFonts w:eastAsia="Calibri" w:cs="Times New Roman"/>
        </w:rPr>
      </w:pPr>
    </w:p>
    <w:p w:rsidR="00C14444" w:rsidRPr="002F663C" w:rsidP="002F663C" w14:paraId="4C4F45C2" w14:textId="77777777">
      <w:pPr>
        <w:rPr>
          <w:rFonts w:eastAsia="Calibri" w:cs="Times New Roman"/>
        </w:rPr>
      </w:pPr>
    </w:p>
    <w:p w:rsidR="002F663C" w:rsidRPr="002F663C" w:rsidP="002F663C" w14:paraId="18340CD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EPCRA Hazardous Chemical Inventory Reporting Requirements: Conformity With the 2024 OSHA Hazard Communication Standard</w:t>
      </w:r>
    </w:p>
    <w:p w:rsidR="002F663C" w:rsidRPr="002F663C" w:rsidP="002F663C" w14:paraId="1FDCE35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D90502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809DDD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1DB5F04" w14:textId="77777777" w:rsidTr="00E9471B">
        <w:tblPrEx>
          <w:tblW w:w="9049" w:type="dxa"/>
          <w:tblLayout w:type="fixed"/>
          <w:tblLook w:val="04A0"/>
        </w:tblPrEx>
        <w:tc>
          <w:tcPr>
            <w:tcW w:w="851" w:type="dxa"/>
          </w:tcPr>
          <w:p w:rsidR="002F663C" w:rsidRPr="00711F9C" w:rsidP="00C14444" w14:paraId="145FDA4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C45EE7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D44B68C" w14:textId="77777777" w:rsidTr="00E9471B">
        <w:tblPrEx>
          <w:tblW w:w="9049" w:type="dxa"/>
          <w:tblLayout w:type="fixed"/>
          <w:tblLook w:val="04A0"/>
        </w:tblPrEx>
        <w:tc>
          <w:tcPr>
            <w:tcW w:w="851" w:type="dxa"/>
          </w:tcPr>
          <w:p w:rsidR="002F663C" w:rsidRPr="00711F9C" w:rsidP="00C14444" w14:paraId="37D9175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E6113E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03A4E2F" w14:textId="77777777" w:rsidTr="00E9471B">
        <w:tblPrEx>
          <w:tblW w:w="9049" w:type="dxa"/>
          <w:tblLayout w:type="fixed"/>
          <w:tblLook w:val="04A0"/>
        </w:tblPrEx>
        <w:tc>
          <w:tcPr>
            <w:tcW w:w="851" w:type="dxa"/>
          </w:tcPr>
          <w:p w:rsidR="002F663C" w:rsidRPr="00711F9C" w:rsidP="00C14444" w14:paraId="201BCC7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58090A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22 June 2026</w:t>
            </w:r>
          </w:p>
        </w:tc>
      </w:tr>
      <w:tr w14:paraId="4A67CE6F" w14:textId="77777777" w:rsidTr="00E9471B">
        <w:tblPrEx>
          <w:tblW w:w="9049" w:type="dxa"/>
          <w:tblLayout w:type="fixed"/>
          <w:tblLook w:val="04A0"/>
        </w:tblPrEx>
        <w:tc>
          <w:tcPr>
            <w:tcW w:w="851" w:type="dxa"/>
          </w:tcPr>
          <w:p w:rsidR="002F663C" w:rsidRPr="00711F9C" w:rsidP="00C14444" w14:paraId="27D609B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93E69A5"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21 August 2026; The compliance date for the use of the new hazard categories is 1 January 2028. The EPA expects these changes to be reflected in 2027 EPCRA section 312 annual reports, due 1 March 2028.</w:t>
            </w:r>
          </w:p>
        </w:tc>
      </w:tr>
      <w:tr w14:paraId="52EDC39E" w14:textId="77777777" w:rsidTr="00E9471B">
        <w:tblPrEx>
          <w:tblW w:w="9049" w:type="dxa"/>
          <w:tblLayout w:type="fixed"/>
          <w:tblLook w:val="04A0"/>
        </w:tblPrEx>
        <w:tc>
          <w:tcPr>
            <w:tcW w:w="851" w:type="dxa"/>
          </w:tcPr>
          <w:p w:rsidR="002F663C" w:rsidRPr="00711F9C" w:rsidP="00C14444" w14:paraId="0B675CF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765D44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388EA21B"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https://members.wto.org/crnattachments/2026/TBT/USA/final_measure/26_03275_00_e.pdf</w:t>
              </w:r>
            </w:hyperlink>
          </w:p>
        </w:tc>
      </w:tr>
      <w:tr w14:paraId="339625C7" w14:textId="77777777" w:rsidTr="00E9471B">
        <w:tblPrEx>
          <w:tblW w:w="9049" w:type="dxa"/>
          <w:tblLayout w:type="fixed"/>
          <w:tblLook w:val="04A0"/>
        </w:tblPrEx>
        <w:tc>
          <w:tcPr>
            <w:tcW w:w="851" w:type="dxa"/>
          </w:tcPr>
          <w:p w:rsidR="002F663C" w:rsidRPr="00711F9C" w:rsidP="00C14444" w14:paraId="06766E2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86B806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F2A449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7535EF1B" w14:textId="77777777" w:rsidTr="00E9471B">
        <w:tblPrEx>
          <w:tblW w:w="9049" w:type="dxa"/>
          <w:tblLayout w:type="fixed"/>
          <w:tblLook w:val="04A0"/>
        </w:tblPrEx>
        <w:tc>
          <w:tcPr>
            <w:tcW w:w="851" w:type="dxa"/>
          </w:tcPr>
          <w:p w:rsidR="002F663C" w:rsidRPr="00711F9C" w:rsidP="00C14444" w14:paraId="223423BA"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4B67A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8D3ECF2"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4646E07" w14:textId="77777777" w:rsidTr="00E9471B">
        <w:tblPrEx>
          <w:tblW w:w="9049" w:type="dxa"/>
          <w:tblLayout w:type="fixed"/>
          <w:tblLook w:val="04A0"/>
        </w:tblPrEx>
        <w:tc>
          <w:tcPr>
            <w:tcW w:w="851" w:type="dxa"/>
          </w:tcPr>
          <w:p w:rsidR="002F663C" w:rsidRPr="00711F9C" w:rsidP="00C14444" w14:paraId="3122CDE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F42E55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901DF7B" w14:textId="77777777" w:rsidTr="00E9471B">
        <w:tblPrEx>
          <w:tblW w:w="9049" w:type="dxa"/>
          <w:tblLayout w:type="fixed"/>
          <w:tblLook w:val="04A0"/>
        </w:tblPrEx>
        <w:tc>
          <w:tcPr>
            <w:tcW w:w="851" w:type="dxa"/>
            <w:tcBorders>
              <w:bottom w:val="double" w:sz="4" w:space="0" w:color="auto"/>
            </w:tcBorders>
          </w:tcPr>
          <w:p w:rsidR="002F663C" w:rsidRPr="00711F9C" w:rsidP="00C14444" w14:paraId="7BDDEA5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B73153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7E75F3B" w14:textId="77777777">
      <w:pPr>
        <w:jc w:val="left"/>
        <w:rPr>
          <w:rFonts w:eastAsia="Calibri" w:cs="Times New Roman"/>
          <w:highlight w:val="yellow"/>
        </w:rPr>
      </w:pPr>
    </w:p>
    <w:p w:rsidR="003971FF" w:rsidRPr="007F6EA2" w:rsidP="00B16ACF" w14:paraId="423D235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Environmental Protection Agency is conforming the Emergency Planning and Community Right-to-Know Act hazardous chemical inventory reporting regulations to the Occupational Safety and Health Administration's </w:t>
      </w:r>
      <w:hyperlink r:id="rId8" w:history="1">
        <w:r w:rsidRPr="002F663C">
          <w:rPr>
            <w:rFonts w:eastAsia="Calibri" w:cs="Times New Roman"/>
            <w:color w:val="0000FF"/>
            <w:szCs w:val="18"/>
            <w:u w:val="single"/>
          </w:rPr>
          <w:t>Hazard Communication Standard</w:t>
        </w:r>
      </w:hyperlink>
      <w:r w:rsidRPr="002F663C">
        <w:rPr>
          <w:rFonts w:eastAsia="Calibri" w:cs="Times New Roman"/>
          <w:szCs w:val="18"/>
        </w:rPr>
        <w:t xml:space="preserve"> amendments of </w:t>
      </w:r>
      <w:hyperlink r:id="rId9" w:history="1">
        <w:r w:rsidRPr="002F663C">
          <w:rPr>
            <w:rFonts w:eastAsia="Calibri" w:cs="Times New Roman"/>
            <w:color w:val="0000FF"/>
            <w:szCs w:val="18"/>
            <w:u w:val="single"/>
          </w:rPr>
          <w:t>2012</w:t>
        </w:r>
      </w:hyperlink>
      <w:r w:rsidRPr="002F663C">
        <w:rPr>
          <w:rFonts w:eastAsia="Calibri" w:cs="Times New Roman"/>
          <w:szCs w:val="18"/>
        </w:rPr>
        <w:t xml:space="preserve"> and </w:t>
      </w:r>
      <w:hyperlink r:id="rId10" w:history="1">
        <w:r w:rsidRPr="002F663C">
          <w:rPr>
            <w:rFonts w:eastAsia="Calibri" w:cs="Times New Roman"/>
            <w:color w:val="0000FF"/>
            <w:szCs w:val="18"/>
            <w:u w:val="single"/>
          </w:rPr>
          <w:t>2024</w:t>
        </w:r>
      </w:hyperlink>
      <w:r w:rsidRPr="002F663C">
        <w:rPr>
          <w:rFonts w:eastAsia="Calibri" w:cs="Times New Roman"/>
          <w:szCs w:val="18"/>
        </w:rPr>
        <w:t>. The Emergency Planning and Community Right-to-Know Act (</w:t>
      </w:r>
      <w:hyperlink r:id="rId11" w:history="1">
        <w:r w:rsidRPr="002F663C">
          <w:rPr>
            <w:rFonts w:eastAsia="Calibri" w:cs="Times New Roman"/>
            <w:color w:val="0000FF"/>
            <w:szCs w:val="18"/>
            <w:u w:val="single"/>
          </w:rPr>
          <w:t>EPCRA</w:t>
        </w:r>
      </w:hyperlink>
      <w:r w:rsidRPr="002F663C">
        <w:rPr>
          <w:rFonts w:eastAsia="Calibri" w:cs="Times New Roman"/>
          <w:szCs w:val="18"/>
        </w:rPr>
        <w:t>) and its regulations rely on the Occupational Safety and Health Administration's (OSHA's) Hazard Communication Standard for the definition of a hazardous chemical and for the categories of health and physical hazards that must be reported under the hazardous chemical inventory regulations. This action conforms the terminology used and information that must be reported on the hazardous chemical inventory forms to the Hazard Communication Standard amendments. As a result, this action improves first responder</w:t>
      </w:r>
      <w:r w:rsidRPr="002F663C">
        <w:rPr>
          <w:rFonts w:eastAsia="Calibri" w:cs="Times New Roman"/>
          <w:szCs w:val="18"/>
        </w:rPr>
        <w:t xml:space="preserve"> and community safety, reduces discrepancies and confusion, </w:t>
      </w:r>
      <w:r w:rsidRPr="002F663C">
        <w:rPr>
          <w:rFonts w:eastAsia="Calibri" w:cs="Times New Roman"/>
          <w:szCs w:val="18"/>
        </w:rPr>
        <w:t>prevents interpretation burdens on facilities when using (Material) Safety Data Sheets to complete annual hazardous chemical inventory reports, and enhances clarity.</w:t>
      </w:r>
    </w:p>
    <w:p w:rsidR="00AD5ECD" w:rsidRPr="002F663C" w:rsidP="00B16ACF" w14:paraId="3E819054" w14:textId="77777777">
      <w:pPr>
        <w:spacing w:before="120" w:after="120"/>
        <w:rPr>
          <w:rFonts w:eastAsia="Calibri" w:cs="Times New Roman"/>
          <w:szCs w:val="18"/>
        </w:rPr>
      </w:pPr>
      <w:r w:rsidRPr="002F663C">
        <w:rPr>
          <w:rFonts w:eastAsia="Calibri" w:cs="Times New Roman"/>
          <w:szCs w:val="18"/>
        </w:rPr>
        <w:t>Effective date: This final rule is effective 21 August 2026.</w:t>
      </w:r>
    </w:p>
    <w:p w:rsidR="00AD5ECD" w:rsidRPr="002F663C" w:rsidP="00B16ACF" w14:paraId="0B8ACA8C" w14:textId="77777777">
      <w:pPr>
        <w:spacing w:before="120" w:after="120"/>
        <w:rPr>
          <w:rFonts w:eastAsia="Calibri" w:cs="Times New Roman"/>
          <w:szCs w:val="18"/>
        </w:rPr>
      </w:pPr>
      <w:r w:rsidRPr="002F663C">
        <w:rPr>
          <w:rFonts w:eastAsia="Calibri" w:cs="Times New Roman"/>
          <w:szCs w:val="18"/>
        </w:rPr>
        <w:t>Compliance date: The compliance date for the use of the new hazard categories is 1 January 2028. The EPA expects these changes to be reflected in 2027 EPCRA section 312 annual reports, due 1 March 2028.</w:t>
      </w:r>
    </w:p>
    <w:p w:rsidR="00AD5ECD" w:rsidRPr="002F663C" w:rsidP="00B16ACF" w14:paraId="66892324" w14:textId="77777777">
      <w:pPr>
        <w:spacing w:before="120" w:after="120"/>
        <w:rPr>
          <w:rFonts w:eastAsia="Calibri" w:cs="Times New Roman"/>
          <w:szCs w:val="18"/>
        </w:rPr>
      </w:pPr>
      <w:r w:rsidRPr="002F663C">
        <w:rPr>
          <w:rFonts w:eastAsia="Calibri" w:cs="Times New Roman"/>
          <w:szCs w:val="18"/>
        </w:rPr>
        <w:t xml:space="preserve">91 Federal Register (FR) 37022, 22 June 2026; </w:t>
      </w:r>
      <w:hyperlink r:id="rId12" w:history="1">
        <w:r w:rsidRPr="002F663C">
          <w:rPr>
            <w:rFonts w:eastAsia="Calibri" w:cs="Times New Roman"/>
            <w:color w:val="0000FF"/>
            <w:szCs w:val="18"/>
            <w:u w:val="single"/>
          </w:rPr>
          <w:t>Title 40 Code of Federal Regulations (CFR) Part 370</w:t>
        </w:r>
      </w:hyperlink>
      <w:r w:rsidRPr="002F663C">
        <w:rPr>
          <w:rFonts w:eastAsia="Calibri" w:cs="Times New Roman"/>
          <w:szCs w:val="18"/>
        </w:rPr>
        <w:t>:</w:t>
      </w:r>
    </w:p>
    <w:p w:rsidR="00AD5ECD" w:rsidRPr="002F663C" w:rsidP="00B16ACF" w14:paraId="36160474"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https://www.govinfo.gov/content/pkg/FR-2026-06-22/html/2026-12426.htm</w:t>
        </w:r>
      </w:hyperlink>
    </w:p>
    <w:p w:rsidR="00AD5ECD" w:rsidRPr="002F663C" w:rsidP="00B16ACF" w14:paraId="05B5B0F5"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https://www.govinfo.gov/content/pkg/FR-2026-06-22/pdf/2026-12426.pdf</w:t>
        </w:r>
      </w:hyperlink>
    </w:p>
    <w:p w:rsidR="00AD5ECD" w:rsidRPr="002F663C" w:rsidP="00B16ACF" w14:paraId="2652602D" w14:textId="77777777">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5" w:history="1">
        <w:r w:rsidRPr="002F663C">
          <w:rPr>
            <w:rFonts w:eastAsia="Calibri" w:cs="Times New Roman"/>
            <w:color w:val="0000FF"/>
            <w:szCs w:val="18"/>
            <w:u w:val="single"/>
          </w:rPr>
          <w:t>G/TBT/N/USA/2243</w:t>
        </w:r>
      </w:hyperlink>
      <w:r w:rsidRPr="002F663C">
        <w:rPr>
          <w:rFonts w:eastAsia="Calibri" w:cs="Times New Roman"/>
          <w:szCs w:val="18"/>
        </w:rPr>
        <w:t xml:space="preserve"> are identified by Docket Number EPA-HQ-OLEM-2025-0299. The link to the Docket Folder on Regulations.gov is </w:t>
      </w:r>
      <w:hyperlink r:id="rId16" w:history="1">
        <w:r w:rsidRPr="002F663C">
          <w:rPr>
            <w:rFonts w:eastAsia="Calibri" w:cs="Times New Roman"/>
            <w:color w:val="0000FF"/>
            <w:szCs w:val="18"/>
            <w:u w:val="single"/>
          </w:rPr>
          <w:t>https://www.regulations.gov/docket/EPA-HQ-OLEM-2025-0299/document</w:t>
        </w:r>
      </w:hyperlink>
      <w:r w:rsidRPr="002F663C">
        <w:rPr>
          <w:rFonts w:eastAsia="Calibri" w:cs="Times New Roman"/>
          <w:szCs w:val="18"/>
        </w:rPr>
        <w:t xml:space="preserve"> and provides access to primary and supporting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corrected Docket Number.</w:t>
      </w:r>
    </w:p>
    <w:p w:rsidR="006C5A96" w:rsidP="006C5A96" w14:paraId="41406887" w14:textId="77777777">
      <w:pPr>
        <w:jc w:val="center"/>
        <w:rPr>
          <w:b/>
        </w:rPr>
      </w:pPr>
      <w:r w:rsidRPr="003971FF">
        <w:rPr>
          <w:b/>
        </w:rPr>
        <w:t>__________</w:t>
      </w:r>
    </w:p>
    <w:p w:rsidR="004D4D19" w:rsidP="007F38C2" w14:paraId="5EF6D623" w14:textId="77777777">
      <w:pPr>
        <w:jc w:val="center"/>
        <w:rPr>
          <w:b/>
        </w:rPr>
      </w:pPr>
    </w:p>
    <w:p w:rsidR="00A1565D" w:rsidP="003971FF" w14:paraId="3E81E76A"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616EFC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79D40F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1122" w:rsidP="00ED54E0" w14:paraId="038C9870" w14:textId="77777777">
      <w:r>
        <w:separator/>
      </w:r>
    </w:p>
  </w:footnote>
  <w:footnote w:type="continuationSeparator" w:id="1">
    <w:p w:rsidR="00551122" w:rsidP="00ED54E0" w14:paraId="51E68B46" w14:textId="77777777">
      <w:r>
        <w:continuationSeparator/>
      </w:r>
    </w:p>
  </w:footnote>
  <w:footnote w:id="2">
    <w:p w:rsidR="007F6EA2" w14:paraId="76D11D42"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3E1821"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C309044" w14:textId="77777777">
    <w:pPr>
      <w:pStyle w:val="Header"/>
      <w:pBdr>
        <w:bottom w:val="single" w:sz="4" w:space="1" w:color="auto"/>
      </w:pBdr>
      <w:tabs>
        <w:tab w:val="clear" w:pos="4513"/>
        <w:tab w:val="clear" w:pos="9027"/>
      </w:tabs>
      <w:jc w:val="center"/>
    </w:pPr>
  </w:p>
  <w:p w:rsidR="00DD3DD7" w:rsidRPr="00DD3DD7" w:rsidP="00DD3DD7" w14:paraId="2E1B58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A171C0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D12323B" w14:textId="77777777">
    <w:pPr>
      <w:pStyle w:val="Header"/>
      <w:pBdr>
        <w:bottom w:val="single" w:sz="4" w:space="1" w:color="auto"/>
      </w:pBdr>
      <w:tabs>
        <w:tab w:val="clear" w:pos="4513"/>
        <w:tab w:val="clear" w:pos="9027"/>
      </w:tabs>
      <w:jc w:val="center"/>
    </w:pPr>
    <w:bookmarkStart w:id="3" w:name="spsSymbolHeader"/>
    <w:r w:rsidRPr="00DD3DD7">
      <w:t>G/TBT/N/USA/2243/Add.2</w:t>
    </w:r>
    <w:bookmarkEnd w:id="3"/>
  </w:p>
  <w:p w:rsidR="00DD3DD7" w:rsidRPr="00DD3DD7" w:rsidP="00DD3DD7" w14:paraId="1E1DEA1C" w14:textId="77777777">
    <w:pPr>
      <w:pStyle w:val="Header"/>
      <w:pBdr>
        <w:bottom w:val="single" w:sz="4" w:space="1" w:color="auto"/>
      </w:pBdr>
      <w:tabs>
        <w:tab w:val="clear" w:pos="4513"/>
        <w:tab w:val="clear" w:pos="9027"/>
      </w:tabs>
      <w:jc w:val="center"/>
    </w:pPr>
  </w:p>
  <w:p w:rsidR="00DD3DD7" w:rsidRPr="00DD3DD7" w:rsidP="00DD3DD7" w14:paraId="7CAB047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7D84B3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FFE7ED"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3B1243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DC72C6B" w14:textId="77777777">
          <w:pPr>
            <w:jc w:val="right"/>
            <w:rPr>
              <w:b/>
              <w:color w:val="FF0000"/>
              <w:szCs w:val="16"/>
            </w:rPr>
          </w:pPr>
          <w:r>
            <w:rPr>
              <w:b/>
              <w:color w:val="FF0000"/>
              <w:szCs w:val="16"/>
            </w:rPr>
            <w:t xml:space="preserve"> </w:t>
          </w:r>
        </w:p>
      </w:tc>
    </w:tr>
    <w:tr w14:paraId="0ADA2DF8"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0714DE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5C5A867" w14:textId="77777777">
          <w:pPr>
            <w:jc w:val="right"/>
            <w:rPr>
              <w:b/>
              <w:szCs w:val="16"/>
            </w:rPr>
          </w:pPr>
        </w:p>
      </w:tc>
    </w:tr>
    <w:tr w14:paraId="1A9BB48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F223F8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FED4132" w14:textId="77777777">
          <w:pPr>
            <w:jc w:val="right"/>
            <w:rPr>
              <w:rFonts w:eastAsia="Calibri" w:cs="Times New Roman"/>
              <w:b/>
              <w:szCs w:val="16"/>
            </w:rPr>
          </w:pPr>
          <w:bookmarkStart w:id="4" w:name="bmkSymbols"/>
          <w:r w:rsidRPr="002F663C">
            <w:rPr>
              <w:rFonts w:eastAsia="Calibri" w:cs="Times New Roman"/>
              <w:b/>
              <w:szCs w:val="16"/>
            </w:rPr>
            <w:t>G/TBT/N/USA/2243/Add.2</w:t>
          </w:r>
          <w:bookmarkEnd w:id="4"/>
        </w:p>
        <w:p w:rsidR="00C14444" w:rsidRPr="00C14444" w:rsidP="00C14444" w14:paraId="1BEAD28A" w14:textId="77777777">
          <w:pPr>
            <w:jc w:val="center"/>
            <w:rPr>
              <w:szCs w:val="16"/>
            </w:rPr>
          </w:pPr>
        </w:p>
      </w:tc>
    </w:tr>
    <w:tr w14:paraId="4356BDC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26961F4" w14:textId="77777777"/>
      </w:tc>
      <w:tc>
        <w:tcPr>
          <w:tcW w:w="5448" w:type="dxa"/>
          <w:gridSpan w:val="2"/>
          <w:shd w:val="clear" w:color="auto" w:fill="FFFFFF"/>
          <w:tcMar>
            <w:left w:w="108" w:type="dxa"/>
            <w:right w:w="108" w:type="dxa"/>
          </w:tcMar>
          <w:vAlign w:val="center"/>
        </w:tcPr>
        <w:p w:rsidR="00ED54E0" w:rsidRPr="00182B84" w:rsidP="00425DC5" w14:paraId="7FDFAF58" w14:textId="77777777">
          <w:pPr>
            <w:jc w:val="right"/>
            <w:rPr>
              <w:szCs w:val="16"/>
            </w:rPr>
          </w:pPr>
          <w:bookmarkStart w:id="5" w:name="bmkDate"/>
          <w:r w:rsidRPr="00182B84">
            <w:rPr>
              <w:szCs w:val="16"/>
            </w:rPr>
            <w:t>25 June 2026</w:t>
          </w:r>
          <w:bookmarkEnd w:id="5"/>
        </w:p>
      </w:tc>
    </w:tr>
    <w:tr w14:paraId="5D6D46E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1BB4A0A" w14:textId="77777777">
          <w:pPr>
            <w:jc w:val="left"/>
            <w:rPr>
              <w:b/>
            </w:rPr>
          </w:pPr>
          <w:bookmarkStart w:id="6" w:name="bmkSerial"/>
          <w:r>
            <w:rPr>
              <w:rFonts w:ascii="Verdana" w:eastAsia="Verdana" w:hAnsi="Verdana" w:cs="Verdana"/>
              <w:b w:val="0"/>
              <w:color w:val="FF0000"/>
              <w:sz w:val="18"/>
            </w:rPr>
            <w:t>(26-4588)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39145E2A"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64E4AFB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445D6FF"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655CEA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436907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67094310">
    <w:abstractNumId w:val="9"/>
  </w:num>
  <w:num w:numId="2" w16cid:durableId="895163709">
    <w:abstractNumId w:val="7"/>
  </w:num>
  <w:num w:numId="3" w16cid:durableId="233127866">
    <w:abstractNumId w:val="6"/>
  </w:num>
  <w:num w:numId="4" w16cid:durableId="1207789675">
    <w:abstractNumId w:val="5"/>
  </w:num>
  <w:num w:numId="5" w16cid:durableId="2035885795">
    <w:abstractNumId w:val="4"/>
  </w:num>
  <w:num w:numId="6" w16cid:durableId="78335984">
    <w:abstractNumId w:val="12"/>
  </w:num>
  <w:num w:numId="7" w16cid:durableId="2070223643">
    <w:abstractNumId w:val="11"/>
  </w:num>
  <w:num w:numId="8" w16cid:durableId="1753623565">
    <w:abstractNumId w:val="10"/>
  </w:num>
  <w:num w:numId="9" w16cid:durableId="21087684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4486587">
    <w:abstractNumId w:val="13"/>
  </w:num>
  <w:num w:numId="11" w16cid:durableId="2041397230">
    <w:abstractNumId w:val="8"/>
  </w:num>
  <w:num w:numId="12" w16cid:durableId="2121485873">
    <w:abstractNumId w:val="3"/>
  </w:num>
  <w:num w:numId="13" w16cid:durableId="1150751102">
    <w:abstractNumId w:val="2"/>
  </w:num>
  <w:num w:numId="14" w16cid:durableId="20590676">
    <w:abstractNumId w:val="1"/>
  </w:num>
  <w:num w:numId="15" w16cid:durableId="374352621">
    <w:abstractNumId w:val="0"/>
  </w:num>
  <w:num w:numId="16" w16cid:durableId="52560693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6082"/>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51122"/>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2D51"/>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D5ECD"/>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4C34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sha.gov/hazcom/rulemaking" TargetMode="External" /><Relationship Id="rId11" Type="http://schemas.openxmlformats.org/officeDocument/2006/relationships/hyperlink" Target="https://www.epa.gov/epcra" TargetMode="External" /><Relationship Id="rId12" Type="http://schemas.openxmlformats.org/officeDocument/2006/relationships/hyperlink" Target="https://www.ecfr.gov/current/title-40/chapter-I/subchapter-J/part-370" TargetMode="External" /><Relationship Id="rId13" Type="http://schemas.openxmlformats.org/officeDocument/2006/relationships/hyperlink" Target="https://www.govinfo.gov/content/pkg/FR-2026-06-22/html/2026-12426.htm" TargetMode="External" /><Relationship Id="rId14" Type="http://schemas.openxmlformats.org/officeDocument/2006/relationships/hyperlink" Target="https://www.govinfo.gov/content/pkg/FR-2026-06-22/pdf/2026-12426.pdf" TargetMode="External" /><Relationship Id="rId15" Type="http://schemas.openxmlformats.org/officeDocument/2006/relationships/hyperlink" Target="https://eping.wto.org/en/Search?domainIds=1&amp;documentSymbol=usa%2F2243" TargetMode="External" /><Relationship Id="rId16" Type="http://schemas.openxmlformats.org/officeDocument/2006/relationships/hyperlink" Target="https://www.regulations.gov/docket/EPA-HQ-OLEM-2025-0299/document" TargetMode="External" /><Relationship Id="rId17" Type="http://schemas.openxmlformats.org/officeDocument/2006/relationships/hyperlink" Target="http://www.regulations.gov/"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275_00_e.pdf" TargetMode="External" /><Relationship Id="rId8" Type="http://schemas.openxmlformats.org/officeDocument/2006/relationships/hyperlink" Target="https://www.osha.gov/hazcom" TargetMode="External" /><Relationship Id="rId9" Type="http://schemas.openxmlformats.org/officeDocument/2006/relationships/hyperlink" Target="https://www.osha.gov/hazcom/2012-standar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FE1FA1F2-646B-4C64-BBD8-0761E1ED5554}">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2026-06-25T07:25:00Z</dcterms:created>
  <dcterms:modified xsi:type="dcterms:W3CDTF">2026-06-25T07:25:00Z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