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67E692A" w14:textId="77777777">
      <w:pPr>
        <w:pStyle w:val="Title"/>
        <w:rPr>
          <w:caps w:val="0"/>
          <w:kern w:val="0"/>
        </w:rPr>
      </w:pPr>
      <w:r w:rsidRPr="002F6A28">
        <w:rPr>
          <w:caps w:val="0"/>
          <w:kern w:val="0"/>
        </w:rPr>
        <w:t>NOTIFICATION</w:t>
      </w:r>
    </w:p>
    <w:p w:rsidR="009239F7" w:rsidRPr="002F6A28" w:rsidP="002F6A28" w14:paraId="4A9543CD" w14:textId="77777777">
      <w:pPr>
        <w:jc w:val="center"/>
      </w:pPr>
      <w:r w:rsidRPr="002F6A28">
        <w:t>The following notification is being circulated in accordance with Article 10.6</w:t>
      </w:r>
    </w:p>
    <w:p w:rsidR="009239F7" w:rsidRPr="002F6A28" w:rsidP="002F6A28" w14:paraId="5B56FD9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6BF603" w14:textId="77777777" w:rsidTr="00DB13FE">
        <w:tblPrEx>
          <w:tblW w:w="5000" w:type="pct"/>
          <w:tblLayout w:type="fixed"/>
          <w:tblLook w:val="0000"/>
        </w:tblPrEx>
        <w:tc>
          <w:tcPr>
            <w:tcW w:w="607" w:type="dxa"/>
            <w:tcBorders>
              <w:top w:val="double" w:sz="4" w:space="0" w:color="auto"/>
            </w:tcBorders>
          </w:tcPr>
          <w:p w:rsidR="00F85C99" w:rsidRPr="002F6A28" w:rsidP="002F6A28" w14:paraId="334C70B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68BE50F"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0FDF311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14085A" w14:textId="77777777" w:rsidTr="00DB13FE">
        <w:tblPrEx>
          <w:tblW w:w="5000" w:type="pct"/>
          <w:tblLayout w:type="fixed"/>
          <w:tblLook w:val="0000"/>
        </w:tblPrEx>
        <w:tc>
          <w:tcPr>
            <w:tcW w:w="607" w:type="dxa"/>
          </w:tcPr>
          <w:p w:rsidR="00F85C99" w:rsidRPr="002F6A28" w:rsidP="002F6A28" w14:paraId="48C987B6" w14:textId="77777777">
            <w:pPr>
              <w:spacing w:before="120" w:after="120"/>
              <w:jc w:val="left"/>
            </w:pPr>
            <w:r w:rsidRPr="002F6A28">
              <w:rPr>
                <w:b/>
              </w:rPr>
              <w:t>2.</w:t>
            </w:r>
          </w:p>
        </w:tc>
        <w:tc>
          <w:tcPr>
            <w:tcW w:w="8373" w:type="dxa"/>
          </w:tcPr>
          <w:p w:rsidR="00F85C99" w:rsidRPr="002F6A28" w:rsidP="000C3B6C" w14:paraId="76683AEA" w14:textId="77777777">
            <w:pPr>
              <w:spacing w:before="120" w:after="120"/>
            </w:pPr>
            <w:r w:rsidRPr="002F6A28">
              <w:rPr>
                <w:b/>
              </w:rPr>
              <w:t>Agency responsible:</w:t>
            </w:r>
            <w:r w:rsidRPr="00C379C8" w:rsidR="00EE3A11">
              <w:t xml:space="preserve"> </w:t>
            </w:r>
          </w:p>
          <w:p w:rsidR="00EE3A11" w:rsidRPr="00C379C8" w:rsidP="000C3B6C" w14:paraId="17A91A99" w14:textId="77777777">
            <w:r w:rsidRPr="00C379C8">
              <w:t>ATTY. PAOLO S. TESTON</w:t>
            </w:r>
          </w:p>
          <w:p w:rsidR="00EE3A11" w:rsidRPr="00C379C8" w:rsidP="000C3B6C" w14:paraId="4D6E0F29" w14:textId="77777777">
            <w:r w:rsidRPr="00C379C8">
              <w:t>Director General</w:t>
            </w:r>
          </w:p>
          <w:p w:rsidR="00EE3A11" w:rsidRPr="00C379C8" w:rsidP="000C3B6C" w14:paraId="12487ED9" w14:textId="77777777">
            <w:r w:rsidRPr="00C379C8">
              <w:t>Food and Drug Administration</w:t>
            </w:r>
          </w:p>
          <w:p w:rsidR="00EE3A11" w:rsidRPr="00C379C8" w:rsidP="000C3B6C" w14:paraId="02371457" w14:textId="77777777">
            <w:pPr>
              <w:spacing w:after="120"/>
            </w:pPr>
            <w:r w:rsidRPr="00C379C8">
              <w:t>DEPARTMENT OF HEALTH</w:t>
            </w:r>
          </w:p>
        </w:tc>
      </w:tr>
      <w:tr w14:paraId="091584FB" w14:textId="77777777" w:rsidTr="00DB13FE">
        <w:tblPrEx>
          <w:tblW w:w="5000" w:type="pct"/>
          <w:tblLayout w:type="fixed"/>
          <w:tblLook w:val="0000"/>
        </w:tblPrEx>
        <w:tc>
          <w:tcPr>
            <w:tcW w:w="607" w:type="dxa"/>
          </w:tcPr>
          <w:p w:rsidR="00F85C99" w:rsidRPr="002F6A28" w:rsidP="002F6A28" w14:paraId="199127C3" w14:textId="77777777">
            <w:pPr>
              <w:spacing w:before="120" w:after="120"/>
              <w:jc w:val="left"/>
              <w:rPr>
                <w:b/>
              </w:rPr>
            </w:pPr>
            <w:r w:rsidRPr="002F6A28">
              <w:rPr>
                <w:b/>
              </w:rPr>
              <w:t>3.</w:t>
            </w:r>
          </w:p>
        </w:tc>
        <w:tc>
          <w:tcPr>
            <w:tcW w:w="8373" w:type="dxa"/>
          </w:tcPr>
          <w:p w:rsidR="00F85C99" w:rsidRPr="0058336F" w:rsidP="002F6A28" w14:paraId="70AF1DC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650488F" w14:textId="77777777" w:rsidTr="00DB13FE">
        <w:tblPrEx>
          <w:tblW w:w="5000" w:type="pct"/>
          <w:tblLayout w:type="fixed"/>
          <w:tblLook w:val="0000"/>
        </w:tblPrEx>
        <w:tc>
          <w:tcPr>
            <w:tcW w:w="607" w:type="dxa"/>
          </w:tcPr>
          <w:p w:rsidR="00F85C99" w:rsidRPr="002F6A28" w:rsidP="002F6A28" w14:paraId="199B3B12" w14:textId="77777777">
            <w:pPr>
              <w:spacing w:before="120" w:after="120"/>
              <w:jc w:val="left"/>
            </w:pPr>
            <w:r w:rsidRPr="002F6A28">
              <w:rPr>
                <w:b/>
              </w:rPr>
              <w:t>4.</w:t>
            </w:r>
          </w:p>
        </w:tc>
        <w:tc>
          <w:tcPr>
            <w:tcW w:w="8373" w:type="dxa"/>
          </w:tcPr>
          <w:p w:rsidR="00F85C99" w:rsidRPr="002F6A28" w:rsidP="002F6A28" w14:paraId="7335E99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Household/Urban Hazardous Substances (HUHS)</w:t>
            </w:r>
          </w:p>
        </w:tc>
      </w:tr>
      <w:tr w14:paraId="785D90DA" w14:textId="77777777" w:rsidTr="00DB13FE">
        <w:tblPrEx>
          <w:tblW w:w="5000" w:type="pct"/>
          <w:tblLayout w:type="fixed"/>
          <w:tblLook w:val="0000"/>
        </w:tblPrEx>
        <w:tc>
          <w:tcPr>
            <w:tcW w:w="607" w:type="dxa"/>
          </w:tcPr>
          <w:p w:rsidR="00F85C99" w:rsidRPr="002F6A28" w:rsidP="002F6A28" w14:paraId="00FC8107" w14:textId="77777777">
            <w:pPr>
              <w:spacing w:before="120" w:after="120"/>
              <w:jc w:val="left"/>
            </w:pPr>
            <w:r w:rsidRPr="002F6A28">
              <w:rPr>
                <w:b/>
              </w:rPr>
              <w:t>5.</w:t>
            </w:r>
          </w:p>
        </w:tc>
        <w:tc>
          <w:tcPr>
            <w:tcW w:w="8373" w:type="dxa"/>
          </w:tcPr>
          <w:p w:rsidR="00F85C99" w:rsidP="002F6A28" w14:paraId="71EE8C6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Adoption of a Phased Implementation Framework for the Facilitated Registration Pathway of Household/Urban Hazardous Substances (HUHS) Products; (4 page(s), in English)</w:t>
            </w:r>
          </w:p>
          <w:p w:rsidR="000C3B6C" w:rsidRPr="000C3B6C" w:rsidP="002F6A28" w14:paraId="678C773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2751A" w:rsidRPr="00CE6C29" w:rsidP="002F6A28" w14:paraId="12C5BE9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https://members.wto.org/crnattachments/2026/TBT/PHL/26_03196_00_e.pdf</w:t>
              </w:r>
            </w:hyperlink>
          </w:p>
          <w:p w:rsidR="00A2751A" w:rsidRPr="00CE6C29" w:rsidP="002F6A28" w14:paraId="472E53C4" w14:textId="77777777">
            <w:pPr>
              <w:rPr>
                <w:iCs/>
              </w:rPr>
            </w:pPr>
            <w:hyperlink r:id="rId7" w:tgtFrame="_blank" w:history="1">
              <w:r w:rsidRPr="00CE6C29">
                <w:rPr>
                  <w:iCs/>
                  <w:color w:val="0000FF"/>
                  <w:u w:val="single"/>
                </w:rPr>
                <w:t>https://www.fda.gov.ph/wp-content/uploads/2026/06/Draft-for-Comments.pdf</w:t>
              </w:r>
            </w:hyperlink>
          </w:p>
          <w:p w:rsidR="00A2751A" w:rsidRPr="00CE6C29" w:rsidP="002F6A28" w14:paraId="57507206" w14:textId="77777777">
            <w:pPr>
              <w:rPr>
                <w:iCs/>
              </w:rPr>
            </w:pPr>
            <w:hyperlink r:id="rId8" w:tgtFrame="_blank" w:history="1">
              <w:r w:rsidRPr="00CE6C29">
                <w:rPr>
                  <w:iCs/>
                  <w:color w:val="0000FF"/>
                  <w:u w:val="single"/>
                </w:rPr>
                <w:t>https://www.fda.gov.ph/wp-content/uploads/2026/06/Draft-FDA-Order_For-Comments.pdf</w:t>
              </w:r>
            </w:hyperlink>
          </w:p>
          <w:p w:rsidR="00A2751A" w:rsidRPr="00A2618F" w:rsidP="002F6A28" w14:paraId="443338A1" w14:textId="77777777">
            <w:pPr>
              <w:rPr>
                <w:iCs/>
                <w:lang w:val="es-ES_tradnl"/>
              </w:rPr>
            </w:pPr>
            <w:r w:rsidRPr="00A2618F">
              <w:rPr>
                <w:iCs/>
                <w:lang w:val="es-ES_tradnl"/>
              </w:rPr>
              <w:t>Engr. Ana Trinidad F. Rivera, MSc</w:t>
            </w:r>
          </w:p>
          <w:p w:rsidR="00A2751A" w:rsidRPr="00CE6C29" w:rsidP="002F6A28" w14:paraId="7C105A44" w14:textId="77777777">
            <w:pPr>
              <w:rPr>
                <w:iCs/>
              </w:rPr>
            </w:pPr>
            <w:r w:rsidRPr="00CE6C29">
              <w:rPr>
                <w:iCs/>
              </w:rPr>
              <w:t>Director IV</w:t>
            </w:r>
          </w:p>
          <w:p w:rsidR="00A2751A" w:rsidRPr="00CE6C29" w:rsidP="002F6A28" w14:paraId="1A63E47B" w14:textId="77777777">
            <w:pPr>
              <w:rPr>
                <w:iCs/>
              </w:rPr>
            </w:pPr>
            <w:r w:rsidRPr="00CE6C29">
              <w:rPr>
                <w:iCs/>
              </w:rPr>
              <w:t>Center for Cosmetics and Household/Urban</w:t>
            </w:r>
          </w:p>
          <w:p w:rsidR="00A2751A" w:rsidRPr="00CE6C29" w:rsidP="002F6A28" w14:paraId="05410D3E" w14:textId="77777777">
            <w:pPr>
              <w:rPr>
                <w:iCs/>
              </w:rPr>
            </w:pPr>
            <w:r w:rsidRPr="00CE6C29">
              <w:rPr>
                <w:iCs/>
              </w:rPr>
              <w:t>Hazardous Substances Regulation and Research</w:t>
            </w:r>
          </w:p>
          <w:p w:rsidR="00A2751A" w:rsidRPr="00CE6C29" w:rsidP="002F6A28" w14:paraId="2BA5ACBC" w14:textId="77777777">
            <w:pPr>
              <w:rPr>
                <w:iCs/>
              </w:rPr>
            </w:pPr>
            <w:r w:rsidRPr="00CE6C29">
              <w:rPr>
                <w:iCs/>
              </w:rPr>
              <w:t>DEPARTMENT OF HEALTH</w:t>
            </w:r>
          </w:p>
          <w:p w:rsidR="00A2751A" w:rsidRPr="00CE6C29" w:rsidP="002F6A28" w14:paraId="0DE07E65" w14:textId="77777777">
            <w:pPr>
              <w:spacing w:after="120"/>
              <w:rPr>
                <w:iCs/>
              </w:rPr>
            </w:pPr>
            <w:r w:rsidRPr="00CE6C29">
              <w:rPr>
                <w:iCs/>
              </w:rPr>
              <w:t xml:space="preserve">Email: </w:t>
            </w:r>
            <w:hyperlink r:id="rId9" w:history="1">
              <w:r w:rsidRPr="00CE6C29">
                <w:rPr>
                  <w:iCs/>
                  <w:color w:val="0000FF"/>
                  <w:u w:val="single"/>
                </w:rPr>
                <w:t>cchuhsrr@fda.gov.ph</w:t>
              </w:r>
            </w:hyperlink>
            <w:r w:rsidRPr="00CE6C29">
              <w:rPr>
                <w:iCs/>
              </w:rPr>
              <w:t xml:space="preserve">; </w:t>
            </w:r>
            <w:hyperlink r:id="rId10" w:history="1">
              <w:r w:rsidRPr="00CE6C29">
                <w:rPr>
                  <w:iCs/>
                  <w:color w:val="0000FF"/>
                  <w:u w:val="single"/>
                </w:rPr>
                <w:t>cchuhsrr-policy@fda.gov.ph</w:t>
              </w:r>
            </w:hyperlink>
            <w:r w:rsidRPr="00CE6C29">
              <w:rPr>
                <w:iCs/>
              </w:rPr>
              <w:t xml:space="preserve">; </w:t>
            </w:r>
            <w:hyperlink r:id="rId11" w:history="1">
              <w:r w:rsidRPr="00CE6C29">
                <w:rPr>
                  <w:iCs/>
                  <w:color w:val="0000FF"/>
                  <w:u w:val="single"/>
                </w:rPr>
                <w:t>BPS@dti.gov.ph</w:t>
              </w:r>
            </w:hyperlink>
          </w:p>
        </w:tc>
      </w:tr>
      <w:tr w14:paraId="1B7371B2" w14:textId="77777777" w:rsidTr="00DB13FE">
        <w:tblPrEx>
          <w:tblW w:w="5000" w:type="pct"/>
          <w:tblLayout w:type="fixed"/>
          <w:tblLook w:val="0000"/>
        </w:tblPrEx>
        <w:tc>
          <w:tcPr>
            <w:tcW w:w="607" w:type="dxa"/>
          </w:tcPr>
          <w:p w:rsidR="00F85C99" w:rsidRPr="002F6A28" w:rsidP="002F6A28" w14:paraId="388AE2D2" w14:textId="77777777">
            <w:pPr>
              <w:spacing w:before="120" w:after="120"/>
              <w:jc w:val="left"/>
              <w:rPr>
                <w:b/>
              </w:rPr>
            </w:pPr>
            <w:r w:rsidRPr="002F6A28">
              <w:rPr>
                <w:b/>
              </w:rPr>
              <w:t>6.</w:t>
            </w:r>
          </w:p>
        </w:tc>
        <w:tc>
          <w:tcPr>
            <w:tcW w:w="8373" w:type="dxa"/>
          </w:tcPr>
          <w:p w:rsidR="00F85C99" w:rsidRPr="002F6A28" w:rsidP="002F6A28" w14:paraId="432C7438" w14:textId="77777777">
            <w:pPr>
              <w:spacing w:before="120" w:after="120"/>
              <w:rPr>
                <w:b/>
              </w:rPr>
            </w:pPr>
            <w:r w:rsidRPr="002F6A28">
              <w:rPr>
                <w:b/>
              </w:rPr>
              <w:t>Description of content:</w:t>
            </w:r>
            <w:r w:rsidRPr="00C379C8" w:rsidR="00FE448B">
              <w:t xml:space="preserve"> The proposed issuance aims to provide further regulatory flexibilities for Household/Urban Hazardous Substances (HUHS) product registration, particularly establishing a phased implementation framework for the facilitated registration pathway.</w:t>
            </w:r>
          </w:p>
        </w:tc>
      </w:tr>
      <w:tr w14:paraId="17768574" w14:textId="77777777" w:rsidTr="00DB13FE">
        <w:tblPrEx>
          <w:tblW w:w="5000" w:type="pct"/>
          <w:tblLayout w:type="fixed"/>
          <w:tblLook w:val="0000"/>
        </w:tblPrEx>
        <w:tc>
          <w:tcPr>
            <w:tcW w:w="607" w:type="dxa"/>
          </w:tcPr>
          <w:p w:rsidR="00F85C99" w:rsidRPr="002F6A28" w:rsidP="002F6A28" w14:paraId="36DD7BFA" w14:textId="77777777">
            <w:pPr>
              <w:spacing w:before="120" w:after="120"/>
              <w:jc w:val="left"/>
              <w:rPr>
                <w:b/>
              </w:rPr>
            </w:pPr>
            <w:r w:rsidRPr="002F6A28">
              <w:rPr>
                <w:b/>
              </w:rPr>
              <w:t>7.</w:t>
            </w:r>
          </w:p>
        </w:tc>
        <w:tc>
          <w:tcPr>
            <w:tcW w:w="8373" w:type="dxa"/>
          </w:tcPr>
          <w:p w:rsidR="00F85C99" w:rsidRPr="002F6A28" w:rsidP="002F6A28" w14:paraId="69E9F624" w14:textId="77777777">
            <w:pPr>
              <w:spacing w:before="120" w:after="120"/>
              <w:rPr>
                <w:b/>
              </w:rPr>
            </w:pPr>
            <w:r w:rsidRPr="002F6A28">
              <w:rPr>
                <w:b/>
              </w:rPr>
              <w:t>Objective and rationale, including the nature of urgent problems where applicable:</w:t>
            </w:r>
            <w:r w:rsidRPr="00C379C8" w:rsidR="00EE3A11">
              <w:t xml:space="preserve"> Republic Act (RA) No. 3720, as amended by RA No. 9711, otherwise known as the "Food and Drug Administration (FDA) Act of 2009", mandates the FDA to ensure health products, including Household/Urban Hazardous Substances (HUHS), are safe, effective, and of good quality. In line with this mandate, the Department of Health (DOH) Administrative Order (AO) No. 2019-0019, entitled "Reinstatement of Requirements of Licensing as Importers, Exporters, Manufacturers, Toll Manufacturers, Wholesalers, </w:t>
            </w:r>
            <w:r w:rsidRPr="00C379C8" w:rsidR="00EE3A11">
              <w:t>Distributors, Retailers, or Re-Packers of Those Engaged in Certain Household/Urban Hazardous Substances, and from the Requirement of Prior Registration and/or Notification of Said Products" was issued to realign the regulatory framework with the FDA's mandate, repealing AO No. 2015-0038.</w:t>
            </w:r>
          </w:p>
          <w:p w:rsidR="00EE3A11" w:rsidRPr="00C379C8" w:rsidP="002F6A28" w14:paraId="4F94B87D" w14:textId="77777777">
            <w:pPr>
              <w:spacing w:before="120" w:after="120"/>
            </w:pPr>
            <w:r w:rsidRPr="00C379C8">
              <w:br/>
              <w:t>Meanwhile, RA No. 11032, otherwise known as the "Ease of Doing Business and Efficient Government Service Delivery Act of 2018," directs the FDA to streamline the regulatory systems and procedures in the issuance of authorizations. Accordingly, the introduction of a facilitated registration pathway for HUHS products is envisioned to improve efficiency and enhance service delivery. Therefore, to ensure policies remain adaptive and responsive while facilitating gradual compliance with new requirements and gui</w:t>
            </w:r>
            <w:r w:rsidRPr="00C379C8">
              <w:t>delines, this Order hereby adopts a phased implementation framework for the facilitated registration pathway for the HUHS product.; Protection of human health or safety</w:t>
            </w:r>
          </w:p>
        </w:tc>
      </w:tr>
      <w:tr w14:paraId="672511D1" w14:textId="77777777" w:rsidTr="00DB13FE">
        <w:tblPrEx>
          <w:tblW w:w="5000" w:type="pct"/>
          <w:tblLayout w:type="fixed"/>
          <w:tblLook w:val="0000"/>
        </w:tblPrEx>
        <w:tc>
          <w:tcPr>
            <w:tcW w:w="607" w:type="dxa"/>
          </w:tcPr>
          <w:p w:rsidR="00F85C99" w:rsidRPr="002F6A28" w:rsidP="009E75ED" w14:paraId="38EA7826" w14:textId="77777777">
            <w:pPr>
              <w:spacing w:before="120" w:after="120"/>
              <w:jc w:val="left"/>
              <w:rPr>
                <w:b/>
              </w:rPr>
            </w:pPr>
            <w:r w:rsidRPr="002F6A28">
              <w:rPr>
                <w:b/>
              </w:rPr>
              <w:t>8.</w:t>
            </w:r>
          </w:p>
        </w:tc>
        <w:tc>
          <w:tcPr>
            <w:tcW w:w="8373" w:type="dxa"/>
          </w:tcPr>
          <w:p w:rsidR="000C3B6C" w:rsidRPr="00EC00D2" w:rsidP="007F13E8" w14:paraId="16102ED0" w14:textId="77777777">
            <w:pPr>
              <w:spacing w:before="120" w:after="120"/>
              <w:rPr>
                <w:bCs/>
              </w:rPr>
            </w:pPr>
            <w:r w:rsidRPr="002F6A28">
              <w:rPr>
                <w:b/>
              </w:rPr>
              <w:t>Relevant documents:</w:t>
            </w:r>
            <w:r w:rsidRPr="002F6A28" w:rsidR="00EE3A11">
              <w:t xml:space="preserve"> </w:t>
            </w:r>
          </w:p>
          <w:p w:rsidR="00EE3A11" w:rsidRPr="002F6A28" w:rsidP="007F13E8" w14:paraId="05E08F59" w14:textId="77777777">
            <w:pPr>
              <w:numPr>
                <w:ilvl w:val="0"/>
                <w:numId w:val="16"/>
              </w:numPr>
              <w:spacing w:before="120" w:after="120"/>
            </w:pPr>
            <w:r w:rsidRPr="002F6A28">
              <w:t>Republic Act (RA) No. 9711 and its Implementing Rules and Regulations (IRR): The Food and Drug Administration (FDA) Act of 2009</w:t>
            </w:r>
          </w:p>
          <w:p w:rsidR="00EE3A11" w:rsidRPr="002F6A28" w:rsidP="007F13E8" w14:paraId="12E7FC23" w14:textId="77777777">
            <w:pPr>
              <w:numPr>
                <w:ilvl w:val="0"/>
                <w:numId w:val="16"/>
              </w:numPr>
              <w:spacing w:before="120" w:after="120"/>
            </w:pPr>
            <w:r w:rsidRPr="002F6A28">
              <w:t>DOH AO 2019-0019: Reinstatement of Requirements of Licensing as Importers, Exporters, Manufacturers, Toll Manufacturers, Wholesalers, Distributors, Retailers, or Re-Packers of Those Engaged in Certain Household/Urban Hazardous Substances, and from the Requirement of Prior Registration and/or Notification of Said Products</w:t>
            </w:r>
          </w:p>
          <w:p w:rsidR="00EE3A11" w:rsidRPr="002F6A28" w:rsidP="007F13E8" w14:paraId="68C08408" w14:textId="77777777">
            <w:pPr>
              <w:numPr>
                <w:ilvl w:val="0"/>
                <w:numId w:val="16"/>
              </w:numPr>
              <w:spacing w:before="120" w:after="120"/>
            </w:pPr>
            <w:r w:rsidRPr="002F6A28">
              <w:t>FDA Circular 2020-025: Implementing Guidelines for Administrative Order No. 2019-0019, "Reinstatement of Requirements of Licensing as Importers, Exporters, Manufacturers, Toll Manufacturers, Wholesalers, Distributors, Retailers, or Re-packers of Those Engaged in Certain Household/Urban Hazardous Substances, and from the Requirement of Prior Registration and/or Notification of Said Products</w:t>
            </w:r>
          </w:p>
          <w:p w:rsidR="00EE3A11" w:rsidRPr="002F6A28" w:rsidP="007F13E8" w14:paraId="3C962563" w14:textId="77777777">
            <w:pPr>
              <w:numPr>
                <w:ilvl w:val="0"/>
                <w:numId w:val="16"/>
              </w:numPr>
              <w:spacing w:before="120" w:after="120"/>
            </w:pPr>
            <w:r w:rsidRPr="002F6A28">
              <w:t>FDA Circular No.2021-011-A: Extension of Transitory Period and Provision of Interim Guidelines for Product Registration, including the Labeling Requirements, for Household Urban/Hazardous Substances</w:t>
            </w:r>
          </w:p>
        </w:tc>
      </w:tr>
      <w:tr w14:paraId="68EEB714" w14:textId="77777777" w:rsidTr="00DB13FE">
        <w:tblPrEx>
          <w:tblW w:w="5000" w:type="pct"/>
          <w:tblLayout w:type="fixed"/>
          <w:tblLook w:val="0000"/>
        </w:tblPrEx>
        <w:tc>
          <w:tcPr>
            <w:tcW w:w="607" w:type="dxa"/>
          </w:tcPr>
          <w:p w:rsidR="00EE3A11" w:rsidRPr="002F6A28" w:rsidP="002F6A28" w14:paraId="14296A60" w14:textId="77777777">
            <w:pPr>
              <w:spacing w:before="120" w:after="120"/>
              <w:jc w:val="left"/>
              <w:rPr>
                <w:b/>
              </w:rPr>
            </w:pPr>
            <w:r w:rsidRPr="002F6A28">
              <w:rPr>
                <w:b/>
              </w:rPr>
              <w:t>9.</w:t>
            </w:r>
          </w:p>
        </w:tc>
        <w:tc>
          <w:tcPr>
            <w:tcW w:w="8373" w:type="dxa"/>
          </w:tcPr>
          <w:p w:rsidR="00EE3A11" w:rsidRPr="002F6A28" w:rsidP="008953C4" w14:paraId="13E2AA7D" w14:textId="77777777">
            <w:pPr>
              <w:spacing w:before="120" w:after="120"/>
            </w:pPr>
            <w:r w:rsidRPr="002F6A28">
              <w:rPr>
                <w:b/>
              </w:rPr>
              <w:t>Proposed date of adoption:</w:t>
            </w:r>
            <w:r w:rsidRPr="00C379C8">
              <w:t xml:space="preserve"> This Circular shall take effect fifteen (15) days after its publication in a newspaper of general circulation and upon filing with the University of the Philippines Office of the National Administrative Register.</w:t>
            </w:r>
          </w:p>
          <w:p w:rsidR="00EE3A11" w:rsidRPr="002F6A28" w:rsidP="008953C4" w14:paraId="79B32711" w14:textId="77777777">
            <w:pPr>
              <w:spacing w:after="120"/>
            </w:pPr>
            <w:r w:rsidRPr="002F6A28">
              <w:rPr>
                <w:b/>
              </w:rPr>
              <w:t>Proposed date of entry into force:</w:t>
            </w:r>
            <w:r w:rsidRPr="00C379C8">
              <w:t xml:space="preserve"> To be determined</w:t>
            </w:r>
          </w:p>
        </w:tc>
      </w:tr>
      <w:tr w14:paraId="56B7F854" w14:textId="77777777" w:rsidTr="00DB13FE">
        <w:tblPrEx>
          <w:tblW w:w="5000" w:type="pct"/>
          <w:tblLayout w:type="fixed"/>
          <w:tblLook w:val="0000"/>
        </w:tblPrEx>
        <w:tc>
          <w:tcPr>
            <w:tcW w:w="607" w:type="dxa"/>
            <w:tcBorders>
              <w:bottom w:val="double" w:sz="4" w:space="0" w:color="auto"/>
            </w:tcBorders>
          </w:tcPr>
          <w:p w:rsidR="00F85C99" w:rsidRPr="002F6A28" w:rsidP="002F6A28" w14:paraId="28F2568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3ED5D5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22C192" w14:textId="77777777">
            <w:pPr>
              <w:spacing w:before="120" w:after="120"/>
              <w:rPr>
                <w:bCs/>
              </w:rPr>
            </w:pPr>
            <w:r w:rsidRPr="002F6A28">
              <w:rPr>
                <w:b/>
              </w:rPr>
              <w:t>Final date for comments:</w:t>
            </w:r>
            <w:r w:rsidRPr="00C379C8" w:rsidR="00EE3A11">
              <w:t xml:space="preserve"> 26 June 2026</w:t>
            </w:r>
          </w:p>
          <w:p w:rsidR="000C3B6C" w:rsidRPr="00E3324D" w:rsidP="000C3B6C" w14:paraId="7468FEB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AFFA17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BE34CD8" w14:textId="77777777">
            <w:r w:rsidRPr="00CE6C29">
              <w:t>Mr. Neil P. Catajay</w:t>
            </w:r>
          </w:p>
          <w:p w:rsidR="00CE6C29" w:rsidRPr="00CE6C29" w:rsidP="000C3B6C" w14:paraId="1A07CDDE" w14:textId="77777777">
            <w:r w:rsidRPr="00CE6C29">
              <w:t>Director</w:t>
            </w:r>
          </w:p>
          <w:p w:rsidR="00CE6C29" w:rsidRPr="00CE6C29" w:rsidP="000C3B6C" w14:paraId="3871777E" w14:textId="77777777">
            <w:r w:rsidRPr="00CE6C29">
              <w:t>Bureau of Philippine Standards</w:t>
            </w:r>
          </w:p>
          <w:p w:rsidR="00CE6C29" w:rsidRPr="00CE6C29" w:rsidP="000C3B6C" w14:paraId="7401FF4D" w14:textId="77777777">
            <w:r w:rsidRPr="00CE6C29">
              <w:t>Department of Trade and Industry</w:t>
            </w:r>
          </w:p>
          <w:p w:rsidR="00CE6C29" w:rsidRPr="00CE6C29" w:rsidP="000C3B6C" w14:paraId="0BAC27B5" w14:textId="77777777">
            <w:r w:rsidRPr="00CE6C29">
              <w:t>3F Trade and Industry Building</w:t>
            </w:r>
          </w:p>
          <w:p w:rsidR="00CE6C29" w:rsidRPr="00CE6C29" w:rsidP="000C3B6C" w14:paraId="667C129C" w14:textId="77777777">
            <w:r w:rsidRPr="00CE6C29">
              <w:t>361 Sen. Gil Puyat Avenue</w:t>
            </w:r>
          </w:p>
          <w:p w:rsidR="00CE6C29" w:rsidRPr="00CE6C29" w:rsidP="000C3B6C" w14:paraId="40E2CBEE" w14:textId="77777777">
            <w:r w:rsidRPr="00CE6C29">
              <w:t>Makati City</w:t>
            </w:r>
          </w:p>
          <w:p w:rsidR="00CE6C29" w:rsidRPr="00CE6C29" w:rsidP="000C3B6C" w14:paraId="57B63A75" w14:textId="77777777">
            <w:r w:rsidRPr="00CE6C29">
              <w:t>Philippines</w:t>
            </w:r>
          </w:p>
          <w:p w:rsidR="00CE6C29" w:rsidRPr="00CE6C29" w:rsidP="000C3B6C" w14:paraId="04ED81E9" w14:textId="77777777">
            <w:r w:rsidRPr="00CE6C29">
              <w:t>1200</w:t>
            </w:r>
          </w:p>
          <w:p w:rsidR="00CE6C29" w:rsidRPr="00CE6C29" w:rsidP="000C3B6C" w14:paraId="269D6E3C" w14:textId="77777777">
            <w:r w:rsidRPr="00CE6C29">
              <w:t>Tel: (632) 751 4700; (632) 7913128</w:t>
            </w:r>
          </w:p>
          <w:p w:rsidR="00CE6C29" w:rsidRPr="00CE6C29" w:rsidP="000C3B6C" w14:paraId="009ABC2F" w14:textId="77777777">
            <w:r w:rsidRPr="00CE6C29">
              <w:t xml:space="preserve">Email: </w:t>
            </w:r>
            <w:hyperlink r:id="rId11" w:history="1">
              <w:r w:rsidRPr="00CE6C29">
                <w:rPr>
                  <w:color w:val="0000FF"/>
                  <w:u w:val="single"/>
                </w:rPr>
                <w:t>bps@dti.gov.ph</w:t>
              </w:r>
            </w:hyperlink>
          </w:p>
          <w:p w:rsidR="00CE6C29" w:rsidRPr="00CE6C29" w:rsidP="000C3B6C" w14:paraId="4B31F605" w14:textId="77777777">
            <w:pPr>
              <w:spacing w:after="120"/>
            </w:pPr>
            <w:r w:rsidRPr="00CE6C29">
              <w:t xml:space="preserve">Website: </w:t>
            </w:r>
            <w:hyperlink r:id="rId12" w:tgtFrame="_blank" w:history="1">
              <w:r w:rsidRPr="00CE6C29">
                <w:rPr>
                  <w:color w:val="0000FF"/>
                  <w:u w:val="single"/>
                </w:rPr>
                <w:t>http://www.bps.dti.gov.ph</w:t>
              </w:r>
            </w:hyperlink>
          </w:p>
        </w:tc>
      </w:tr>
    </w:tbl>
    <w:p w:rsidR="00EE3A11" w:rsidRPr="002F6A28" w:rsidP="00887259" w14:paraId="6ABEA400"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4F6E8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B98BB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F437D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420F94" w14:textId="77777777">
    <w:pPr>
      <w:pStyle w:val="Header"/>
      <w:pBdr>
        <w:bottom w:val="single" w:sz="4" w:space="1" w:color="auto"/>
      </w:pBdr>
      <w:tabs>
        <w:tab w:val="clear" w:pos="4513"/>
        <w:tab w:val="clear" w:pos="9027"/>
      </w:tabs>
      <w:jc w:val="center"/>
    </w:pPr>
    <w:r w:rsidRPr="002F6A28">
      <w:t>tbtSymbol</w:t>
    </w:r>
  </w:p>
  <w:p w:rsidR="009239F7" w:rsidRPr="002F6A28" w:rsidP="009239F7" w14:paraId="225C67E8" w14:textId="77777777">
    <w:pPr>
      <w:pStyle w:val="Header"/>
      <w:pBdr>
        <w:bottom w:val="single" w:sz="4" w:space="1" w:color="auto"/>
      </w:pBdr>
      <w:tabs>
        <w:tab w:val="clear" w:pos="4513"/>
        <w:tab w:val="clear" w:pos="9027"/>
      </w:tabs>
      <w:jc w:val="center"/>
    </w:pPr>
  </w:p>
  <w:p w:rsidR="009239F7" w:rsidRPr="002F6A28" w:rsidP="009239F7" w14:paraId="4E0B004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15D33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A32FB3" w14:textId="77777777">
    <w:pPr>
      <w:pStyle w:val="Header"/>
      <w:pBdr>
        <w:bottom w:val="single" w:sz="4" w:space="1" w:color="auto"/>
      </w:pBdr>
      <w:tabs>
        <w:tab w:val="clear" w:pos="4513"/>
        <w:tab w:val="clear" w:pos="9027"/>
      </w:tabs>
      <w:jc w:val="center"/>
    </w:pPr>
    <w:bookmarkStart w:id="0" w:name="spsSymbolHeader"/>
    <w:r w:rsidRPr="002F6A28">
      <w:t>G/TBT/N/PHL/369</w:t>
    </w:r>
    <w:bookmarkEnd w:id="0"/>
  </w:p>
  <w:p w:rsidR="009239F7" w:rsidRPr="002F6A28" w:rsidP="009239F7" w14:paraId="3469D2AD" w14:textId="77777777">
    <w:pPr>
      <w:pStyle w:val="Header"/>
      <w:pBdr>
        <w:bottom w:val="single" w:sz="4" w:space="1" w:color="auto"/>
      </w:pBdr>
      <w:tabs>
        <w:tab w:val="clear" w:pos="4513"/>
        <w:tab w:val="clear" w:pos="9027"/>
      </w:tabs>
      <w:jc w:val="center"/>
    </w:pPr>
  </w:p>
  <w:p w:rsidR="009239F7" w:rsidRPr="002F6A28" w:rsidP="009239F7" w14:paraId="5AC3F8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2EEA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91655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B30E6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B3B2F46" w14:textId="77777777">
          <w:pPr>
            <w:jc w:val="right"/>
            <w:rPr>
              <w:b/>
              <w:color w:val="FF0000"/>
              <w:szCs w:val="16"/>
            </w:rPr>
          </w:pPr>
        </w:p>
      </w:tc>
    </w:tr>
    <w:bookmarkEnd w:id="1"/>
    <w:tr w14:paraId="053C899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E8F34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C9A144" w14:textId="77777777">
          <w:pPr>
            <w:jc w:val="right"/>
            <w:rPr>
              <w:b/>
              <w:szCs w:val="16"/>
            </w:rPr>
          </w:pPr>
        </w:p>
      </w:tc>
    </w:tr>
    <w:tr w14:paraId="4EDDEEC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764DA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B8EC310" w14:textId="77777777">
          <w:pPr>
            <w:jc w:val="right"/>
            <w:rPr>
              <w:b/>
              <w:szCs w:val="16"/>
            </w:rPr>
          </w:pPr>
          <w:bookmarkStart w:id="2" w:name="bmkSymbols"/>
          <w:r w:rsidRPr="002F6A28">
            <w:rPr>
              <w:b/>
              <w:szCs w:val="16"/>
            </w:rPr>
            <w:t>G/TBT/N/PHL/369</w:t>
          </w:r>
          <w:bookmarkEnd w:id="2"/>
        </w:p>
      </w:tc>
    </w:tr>
    <w:tr w14:paraId="074478F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31E9B24" w14:textId="77777777"/>
      </w:tc>
      <w:tc>
        <w:tcPr>
          <w:tcW w:w="5448" w:type="dxa"/>
          <w:gridSpan w:val="2"/>
          <w:shd w:val="clear" w:color="auto" w:fill="FFFFFF"/>
          <w:tcMar>
            <w:left w:w="108" w:type="dxa"/>
            <w:right w:w="108" w:type="dxa"/>
          </w:tcMar>
          <w:vAlign w:val="center"/>
        </w:tcPr>
        <w:p w:rsidR="00ED54E0" w:rsidRPr="009239F7" w:rsidP="00B801E9" w14:paraId="3832932A" w14:textId="77777777">
          <w:pPr>
            <w:jc w:val="right"/>
            <w:rPr>
              <w:szCs w:val="16"/>
            </w:rPr>
          </w:pPr>
          <w:bookmarkStart w:id="3" w:name="spsDateDistribution"/>
          <w:bookmarkStart w:id="4" w:name="bmkDate"/>
          <w:r w:rsidRPr="009239F7">
            <w:rPr>
              <w:szCs w:val="16"/>
            </w:rPr>
            <w:t>19 June 2026</w:t>
          </w:r>
          <w:bookmarkEnd w:id="3"/>
          <w:bookmarkEnd w:id="4"/>
        </w:p>
      </w:tc>
    </w:tr>
    <w:tr w14:paraId="638E9C6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8E26DBB" w14:textId="77777777">
          <w:pPr>
            <w:jc w:val="left"/>
            <w:rPr>
              <w:b/>
            </w:rPr>
          </w:pPr>
          <w:bookmarkStart w:id="5" w:name="bmkSerial"/>
          <w:r>
            <w:rPr>
              <w:rFonts w:ascii="Verdana" w:eastAsia="Verdana" w:hAnsi="Verdana" w:cs="Verdana"/>
              <w:b w:val="0"/>
              <w:color w:val="FF0000"/>
              <w:sz w:val="18"/>
            </w:rPr>
            <w:t>(26-4502)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198876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AA9F6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112370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D55F0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2B102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7531023">
    <w:abstractNumId w:val="9"/>
  </w:num>
  <w:num w:numId="2" w16cid:durableId="449782698">
    <w:abstractNumId w:val="7"/>
  </w:num>
  <w:num w:numId="3" w16cid:durableId="982004329">
    <w:abstractNumId w:val="6"/>
  </w:num>
  <w:num w:numId="4" w16cid:durableId="158421729">
    <w:abstractNumId w:val="5"/>
  </w:num>
  <w:num w:numId="5" w16cid:durableId="1837064581">
    <w:abstractNumId w:val="4"/>
  </w:num>
  <w:num w:numId="6" w16cid:durableId="1688477949">
    <w:abstractNumId w:val="12"/>
  </w:num>
  <w:num w:numId="7" w16cid:durableId="309987336">
    <w:abstractNumId w:val="11"/>
  </w:num>
  <w:num w:numId="8" w16cid:durableId="1914242151">
    <w:abstractNumId w:val="10"/>
  </w:num>
  <w:num w:numId="9" w16cid:durableId="1391537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0553490">
    <w:abstractNumId w:val="13"/>
  </w:num>
  <w:num w:numId="11" w16cid:durableId="1923223628">
    <w:abstractNumId w:val="8"/>
  </w:num>
  <w:num w:numId="12" w16cid:durableId="1462918634">
    <w:abstractNumId w:val="3"/>
  </w:num>
  <w:num w:numId="13" w16cid:durableId="1234781252">
    <w:abstractNumId w:val="2"/>
  </w:num>
  <w:num w:numId="14" w16cid:durableId="727150443">
    <w:abstractNumId w:val="1"/>
  </w:num>
  <w:num w:numId="15" w16cid:durableId="1317495090">
    <w:abstractNumId w:val="0"/>
  </w:num>
  <w:num w:numId="16" w16cid:durableId="11662906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3027"/>
    <w:rsid w:val="0011356B"/>
    <w:rsid w:val="001157E9"/>
    <w:rsid w:val="001206E6"/>
    <w:rsid w:val="00125032"/>
    <w:rsid w:val="0013337F"/>
    <w:rsid w:val="00147DF9"/>
    <w:rsid w:val="00153339"/>
    <w:rsid w:val="00155128"/>
    <w:rsid w:val="001621F4"/>
    <w:rsid w:val="00164B99"/>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2EB4"/>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97CD4"/>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618F"/>
    <w:rsid w:val="00A2751A"/>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4F5"/>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5B7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chuhsrr-policy@fda.gov.ph" TargetMode="External" /><Relationship Id="rId11" Type="http://schemas.openxmlformats.org/officeDocument/2006/relationships/hyperlink" Target="mailto:BPS@dti.gov.ph" TargetMode="External" /><Relationship Id="rId12" Type="http://schemas.openxmlformats.org/officeDocument/2006/relationships/hyperlink" Target="http://www.bps.dti.gov.ph"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3196_00_e.pdf" TargetMode="External" /><Relationship Id="rId7" Type="http://schemas.openxmlformats.org/officeDocument/2006/relationships/hyperlink" Target="https://www.fda.gov.ph/wp-content/uploads/2026/06/Draft-for-Comments.pdf" TargetMode="External" /><Relationship Id="rId8" Type="http://schemas.openxmlformats.org/officeDocument/2006/relationships/hyperlink" Target="https://www.fda.gov.ph/wp-content/uploads/2026/06/Draft-FDA-Order_For-Comments.pdf" TargetMode="External" /><Relationship Id="rId9" Type="http://schemas.openxmlformats.org/officeDocument/2006/relationships/hyperlink" Target="mailto:cchuhsrr@fda.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6BC4A0F-409B-4B2B-8A0F-09A2D341D40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660</Words>
  <Characters>4377</Characters>
  <Application>Microsoft Office Word</Application>
  <DocSecurity>0</DocSecurity>
  <Lines>101</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2026-06-19T10:35:00Z</dcterms:created>
  <dcterms:modified xsi:type="dcterms:W3CDTF">2026-06-19T10:44:00Z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