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42403147" w14:textId="77777777">
      <w:pPr>
        <w:pStyle w:val="Title"/>
        <w:rPr>
          <w:caps w:val="0"/>
          <w:kern w:val="0"/>
        </w:rPr>
      </w:pPr>
      <w:r w:rsidRPr="003A3E55">
        <w:rPr>
          <w:caps w:val="0"/>
          <w:kern w:val="0"/>
        </w:rPr>
        <w:t>NOTIFICACIÓN</w:t>
      </w:r>
    </w:p>
    <w:p w:rsidR="00B531D9" w:rsidRPr="003A3E55" w:rsidP="003A3E55" w14:paraId="33AF520D" w14:textId="77777777">
      <w:pPr>
        <w:jc w:val="center"/>
      </w:pPr>
      <w:r w:rsidRPr="003A3E55">
        <w:t>Se da traslado de la notificación siguiente de conformidad con el artículo 10.6.</w:t>
      </w:r>
    </w:p>
    <w:p w:rsidR="00B531D9" w:rsidRPr="003A3E55" w:rsidP="003A3E55" w14:paraId="67EB8DB8"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D1AE4B8" w14:textId="77777777" w:rsidTr="000F6A25">
        <w:tblPrEx>
          <w:tblW w:w="5000" w:type="pct"/>
          <w:tblLayout w:type="fixed"/>
          <w:tblLook w:val="0000"/>
        </w:tblPrEx>
        <w:tc>
          <w:tcPr>
            <w:tcW w:w="695" w:type="dxa"/>
            <w:tcBorders>
              <w:top w:val="double" w:sz="4" w:space="0" w:color="auto"/>
            </w:tcBorders>
          </w:tcPr>
          <w:p w:rsidR="00A52F73" w:rsidRPr="003A3E55" w:rsidP="003A3E55" w14:paraId="52A8B33E" w14:textId="77777777">
            <w:pPr>
              <w:spacing w:before="120" w:after="120"/>
              <w:rPr>
                <w:b/>
              </w:rPr>
            </w:pPr>
            <w:r w:rsidRPr="003A3E55">
              <w:rPr>
                <w:b/>
              </w:rPr>
              <w:t>1.</w:t>
            </w:r>
          </w:p>
        </w:tc>
        <w:tc>
          <w:tcPr>
            <w:tcW w:w="8285" w:type="dxa"/>
            <w:tcBorders>
              <w:top w:val="double" w:sz="4" w:space="0" w:color="auto"/>
            </w:tcBorders>
          </w:tcPr>
          <w:p w:rsidR="00A52F73" w:rsidRPr="003A3E55" w:rsidP="00946686" w14:paraId="2CF144D7"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3EEAB47D" w14:textId="77777777">
            <w:pPr>
              <w:spacing w:after="120"/>
            </w:pPr>
            <w:r w:rsidRPr="003A3E55">
              <w:rPr>
                <w:b/>
              </w:rPr>
              <w:t>Si procede, nombre del gobierno local de que se trate (artículos 3.2 y 7.2):</w:t>
            </w:r>
            <w:r w:rsidRPr="006A63E9" w:rsidR="00AF251E">
              <w:t xml:space="preserve"> </w:t>
            </w:r>
          </w:p>
        </w:tc>
      </w:tr>
      <w:tr w14:paraId="1D7C08FF" w14:textId="77777777" w:rsidTr="000F6A25">
        <w:tblPrEx>
          <w:tblW w:w="5000" w:type="pct"/>
          <w:tblLayout w:type="fixed"/>
          <w:tblLook w:val="0000"/>
        </w:tblPrEx>
        <w:tc>
          <w:tcPr>
            <w:tcW w:w="695" w:type="dxa"/>
          </w:tcPr>
          <w:p w:rsidR="00A52F73" w:rsidRPr="003A3E55" w:rsidP="003A3E55" w14:paraId="1BC5415C" w14:textId="77777777">
            <w:pPr>
              <w:spacing w:before="120" w:after="120"/>
              <w:rPr>
                <w:b/>
              </w:rPr>
            </w:pPr>
            <w:r w:rsidRPr="003A3E55">
              <w:rPr>
                <w:b/>
              </w:rPr>
              <w:t>2.</w:t>
            </w:r>
          </w:p>
        </w:tc>
        <w:tc>
          <w:tcPr>
            <w:tcW w:w="8285" w:type="dxa"/>
          </w:tcPr>
          <w:p w:rsidR="00A52F73" w:rsidRPr="003A3E55" w:rsidP="00C94F02" w14:paraId="79692A14" w14:textId="77777777">
            <w:pPr>
              <w:spacing w:before="120" w:after="120"/>
            </w:pPr>
            <w:r w:rsidRPr="003A3E55">
              <w:rPr>
                <w:b/>
              </w:rPr>
              <w:t>Organismo responsable:</w:t>
            </w:r>
            <w:r w:rsidRPr="003A3E55" w:rsidR="00AF251E">
              <w:t xml:space="preserve"> </w:t>
            </w:r>
          </w:p>
          <w:p w:rsidR="00AF251E" w:rsidRPr="003A3E55" w:rsidP="00C94F02" w14:paraId="5280424B" w14:textId="77777777">
            <w:pPr>
              <w:spacing w:after="120"/>
            </w:pPr>
            <w:r w:rsidRPr="003A3E55">
              <w:t>Instituto de Salud Pública (ISP)</w:t>
            </w:r>
          </w:p>
        </w:tc>
      </w:tr>
      <w:tr w14:paraId="0FE2EB22" w14:textId="77777777" w:rsidTr="000F6A25">
        <w:tblPrEx>
          <w:tblW w:w="5000" w:type="pct"/>
          <w:tblLayout w:type="fixed"/>
          <w:tblLook w:val="0000"/>
        </w:tblPrEx>
        <w:tc>
          <w:tcPr>
            <w:tcW w:w="695" w:type="dxa"/>
          </w:tcPr>
          <w:p w:rsidR="00A52F73" w:rsidRPr="003A3E55" w:rsidP="003A3E55" w14:paraId="3A71D8A2" w14:textId="77777777">
            <w:pPr>
              <w:spacing w:before="120" w:after="120"/>
              <w:rPr>
                <w:b/>
              </w:rPr>
            </w:pPr>
            <w:r w:rsidRPr="003A3E55">
              <w:rPr>
                <w:b/>
              </w:rPr>
              <w:t>3.</w:t>
            </w:r>
          </w:p>
        </w:tc>
        <w:tc>
          <w:tcPr>
            <w:tcW w:w="8285" w:type="dxa"/>
          </w:tcPr>
          <w:p w:rsidR="00A52F73" w:rsidRPr="003A3E55" w:rsidP="003A3E55" w14:paraId="3C9088F5"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67F82B6" w14:textId="77777777" w:rsidTr="000F6A25">
        <w:tblPrEx>
          <w:tblW w:w="5000" w:type="pct"/>
          <w:tblLayout w:type="fixed"/>
          <w:tblLook w:val="0000"/>
        </w:tblPrEx>
        <w:tc>
          <w:tcPr>
            <w:tcW w:w="695" w:type="dxa"/>
          </w:tcPr>
          <w:p w:rsidR="00A52F73" w:rsidRPr="003A3E55" w:rsidP="003A3E55" w14:paraId="0F633FCF" w14:textId="77777777">
            <w:pPr>
              <w:spacing w:before="120" w:after="120"/>
              <w:rPr>
                <w:b/>
              </w:rPr>
            </w:pPr>
            <w:r w:rsidRPr="003A3E55">
              <w:rPr>
                <w:b/>
              </w:rPr>
              <w:t>4.</w:t>
            </w:r>
          </w:p>
        </w:tc>
        <w:tc>
          <w:tcPr>
            <w:tcW w:w="8285" w:type="dxa"/>
          </w:tcPr>
          <w:p w:rsidR="00A52F73" w:rsidRPr="003A3E55" w:rsidP="003A3E55" w14:paraId="6D93B479"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Dispositivos médicos</w:t>
            </w:r>
          </w:p>
        </w:tc>
      </w:tr>
      <w:tr w14:paraId="3512F695" w14:textId="77777777" w:rsidTr="000F6A25">
        <w:tblPrEx>
          <w:tblW w:w="5000" w:type="pct"/>
          <w:tblLayout w:type="fixed"/>
          <w:tblLook w:val="0000"/>
        </w:tblPrEx>
        <w:tc>
          <w:tcPr>
            <w:tcW w:w="695" w:type="dxa"/>
          </w:tcPr>
          <w:p w:rsidR="00A52F73" w:rsidRPr="003A3E55" w:rsidP="003A3E55" w14:paraId="74C66A96" w14:textId="77777777">
            <w:pPr>
              <w:spacing w:before="120" w:after="120"/>
              <w:rPr>
                <w:b/>
              </w:rPr>
            </w:pPr>
            <w:r w:rsidRPr="003A3E55">
              <w:rPr>
                <w:b/>
              </w:rPr>
              <w:t>5.</w:t>
            </w:r>
          </w:p>
        </w:tc>
        <w:tc>
          <w:tcPr>
            <w:tcW w:w="8285" w:type="dxa"/>
          </w:tcPr>
          <w:p w:rsidR="00A52F73" w:rsidP="003A3E55" w14:paraId="7AF400F6"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Documento Guía del trámite "Autorización de Uso Provisional de Dispositivo Médico en Investigación Clínica en Seres Humanos; (42 página(s), en español)</w:t>
            </w:r>
          </w:p>
          <w:p w:rsidR="00145C22" w:rsidRPr="00F70F54" w:rsidP="003A3E55" w14:paraId="7DD5E2F6"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1170F27A" w14:textId="77777777">
            <w:pPr>
              <w:pBdr>
                <w:top w:val="none" w:sz="0" w:space="4" w:color="auto"/>
                <w:bottom w:val="none" w:sz="0" w:space="4" w:color="auto"/>
              </w:pBdr>
              <w:spacing w:after="120"/>
              <w:rPr>
                <w:bCs/>
              </w:rPr>
            </w:pPr>
            <w:hyperlink r:id="rId5" w:tgtFrame="_blank" w:history="1">
              <w:r>
                <w:rPr>
                  <w:bCs/>
                  <w:color w:val="0000FF"/>
                  <w:u w:val="single"/>
                </w:rPr>
                <w:t>https://members.wto.org/crnattachments/2026/TBT/CHL/26_02815_00_s.pdf</w:t>
              </w:r>
            </w:hyperlink>
          </w:p>
        </w:tc>
      </w:tr>
      <w:tr w14:paraId="1B7370E7" w14:textId="77777777" w:rsidTr="000F6A25">
        <w:tblPrEx>
          <w:tblW w:w="5000" w:type="pct"/>
          <w:tblLayout w:type="fixed"/>
          <w:tblLook w:val="0000"/>
        </w:tblPrEx>
        <w:tc>
          <w:tcPr>
            <w:tcW w:w="695" w:type="dxa"/>
          </w:tcPr>
          <w:p w:rsidR="00A52F73" w:rsidRPr="003A3E55" w:rsidP="003A3E55" w14:paraId="338A77D0" w14:textId="77777777">
            <w:pPr>
              <w:spacing w:before="120" w:after="120"/>
              <w:rPr>
                <w:b/>
              </w:rPr>
            </w:pPr>
            <w:r w:rsidRPr="003A3E55">
              <w:rPr>
                <w:b/>
              </w:rPr>
              <w:t>6.</w:t>
            </w:r>
          </w:p>
        </w:tc>
        <w:tc>
          <w:tcPr>
            <w:tcW w:w="8285" w:type="dxa"/>
          </w:tcPr>
          <w:p w:rsidR="00A52F73" w:rsidRPr="003A3E55" w:rsidP="003A3E55" w14:paraId="62233D8D" w14:textId="77777777">
            <w:pPr>
              <w:spacing w:before="120" w:after="120"/>
            </w:pPr>
            <w:r w:rsidRPr="000C0749">
              <w:rPr>
                <w:b/>
              </w:rPr>
              <w:t>Descripción del contenido:</w:t>
            </w:r>
            <w:r w:rsidRPr="003A3E55" w:rsidR="00AF251E">
              <w:t xml:space="preserve"> La presente guía técnica establece el marco procedimental y los requisitos que deben cumplir los investigadores y patrocinadores para solicitar la Autorización de Uso Provisional de Dispositivos Médicos destinados a la Investigación Clínica en Seres Humanos en Chile. El documento, elaborado por el Departamento Agencia Nacional de Dispositivos Médicos (ANDIM) del Instituto de Salud Pública (ISP), busca estandarizar el proceso de evaluación cualitativa ex-ante para aquellos productos médicos que aún no cuentan con registro sanitario ni comercialización regular en el país. A través de un desglose que abarca desde las definiciones operacionales básicas hasta los fundamentos para una eventual denegación de la solicitud, la guía funciona como la normativa administrativa que garantiza que todo dispositivo utilizado en un ensayo clínico en el territorio nacional cumpla con rigurosos estándares de seguridad y calidad.</w:t>
            </w:r>
          </w:p>
          <w:p w:rsidR="00AF251E" w:rsidRPr="003A3E55" w:rsidP="003A3E55" w14:paraId="7CFD4600" w14:textId="77777777">
            <w:pPr>
              <w:spacing w:before="120" w:after="120"/>
            </w:pPr>
            <w:r w:rsidRPr="003A3E55">
              <w:t>En su núcleo operativo, el texto detalla minuciosamente el expediente único y los antecedentes técnicos que deben acompañar a cada solicitud, tales como el Plan de Investigación Clínica, el Manual del Investigador y el cumplimiento de las Buenas Prácticas Clínicas basadas en estándares internacionales vigentes (como las normas ISO 14.155 e ICH E6-R3). Asimismo, regula aspectos clave como las condiciones de rotulado específico para dispositivos en fase de investigación, los mecanismos de trazabilidad y la ge</w:t>
            </w:r>
            <w:r w:rsidRPr="003A3E55">
              <w:t>stión de informes de seguridad y eventos adversos.</w:t>
            </w:r>
          </w:p>
        </w:tc>
      </w:tr>
      <w:tr w14:paraId="3764B3CF" w14:textId="77777777" w:rsidTr="000F6A25">
        <w:tblPrEx>
          <w:tblW w:w="5000" w:type="pct"/>
          <w:tblLayout w:type="fixed"/>
          <w:tblLook w:val="0000"/>
        </w:tblPrEx>
        <w:tc>
          <w:tcPr>
            <w:tcW w:w="695" w:type="dxa"/>
          </w:tcPr>
          <w:p w:rsidR="00A52F73" w:rsidRPr="003A3E55" w:rsidP="003A3E55" w14:paraId="36BF0DFC" w14:textId="77777777">
            <w:pPr>
              <w:spacing w:before="120" w:after="120"/>
              <w:rPr>
                <w:b/>
              </w:rPr>
            </w:pPr>
            <w:r w:rsidRPr="003A3E55">
              <w:rPr>
                <w:b/>
              </w:rPr>
              <w:t>7.</w:t>
            </w:r>
          </w:p>
        </w:tc>
        <w:tc>
          <w:tcPr>
            <w:tcW w:w="8285" w:type="dxa"/>
          </w:tcPr>
          <w:p w:rsidR="00A52F73" w:rsidRPr="003A3E55" w:rsidP="00A5462B" w14:paraId="5A883BA3"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w:t>
            </w:r>
          </w:p>
        </w:tc>
      </w:tr>
      <w:tr w14:paraId="6AD2F0D8" w14:textId="77777777" w:rsidTr="000F6A25">
        <w:tblPrEx>
          <w:tblW w:w="5000" w:type="pct"/>
          <w:tblLayout w:type="fixed"/>
          <w:tblLook w:val="0000"/>
        </w:tblPrEx>
        <w:tc>
          <w:tcPr>
            <w:tcW w:w="695" w:type="dxa"/>
          </w:tcPr>
          <w:p w:rsidR="00A52F73" w:rsidRPr="003A3E55" w:rsidP="00617B12" w14:paraId="2D52CCA4" w14:textId="77777777">
            <w:pPr>
              <w:spacing w:before="120" w:after="120"/>
              <w:rPr>
                <w:b/>
              </w:rPr>
            </w:pPr>
            <w:r w:rsidRPr="003A3E55">
              <w:rPr>
                <w:b/>
              </w:rPr>
              <w:t>8.</w:t>
            </w:r>
          </w:p>
        </w:tc>
        <w:tc>
          <w:tcPr>
            <w:tcW w:w="8285" w:type="dxa"/>
          </w:tcPr>
          <w:p w:rsidR="00145C22" w:rsidRPr="00F70F54" w:rsidP="005037AE" w14:paraId="5C816B25" w14:textId="77777777">
            <w:pPr>
              <w:spacing w:before="120" w:after="120"/>
              <w:rPr>
                <w:bCs/>
              </w:rPr>
            </w:pPr>
            <w:r w:rsidRPr="000C0749">
              <w:rPr>
                <w:b/>
              </w:rPr>
              <w:t>Documentos pertinentes:</w:t>
            </w:r>
            <w:r w:rsidRPr="003A3E55" w:rsidR="00AF251E">
              <w:t xml:space="preserve"> </w:t>
            </w:r>
          </w:p>
          <w:p w:rsidR="00AF251E" w:rsidRPr="003A3E55" w:rsidP="005037AE" w14:paraId="6BF853CA" w14:textId="77777777">
            <w:pPr>
              <w:spacing w:before="120" w:after="120"/>
            </w:pPr>
            <w:r w:rsidRPr="003A3E55">
              <w:t>Decreto N° 725 de 1967, del Ministerio de Salud, Código Sanitario de Chile.</w:t>
            </w:r>
          </w:p>
          <w:p w:rsidR="00AF251E" w:rsidRPr="003A3E55" w:rsidP="005037AE" w14:paraId="30B3550F" w14:textId="77777777">
            <w:pPr>
              <w:spacing w:before="120" w:after="120"/>
            </w:pPr>
            <w:r w:rsidRPr="003A3E55">
              <w:t>Decreto Supremo N° 825 de 1999, del Ministerio de Salud, que aprobó el reglamento de control de productos y elementos de uso médico.</w:t>
            </w:r>
          </w:p>
        </w:tc>
      </w:tr>
      <w:tr w14:paraId="545C6A9E" w14:textId="77777777" w:rsidTr="000F6A25">
        <w:tblPrEx>
          <w:tblW w:w="5000" w:type="pct"/>
          <w:tblLayout w:type="fixed"/>
          <w:tblLook w:val="0000"/>
        </w:tblPrEx>
        <w:tc>
          <w:tcPr>
            <w:tcW w:w="695" w:type="dxa"/>
          </w:tcPr>
          <w:p w:rsidR="00AF251E" w:rsidRPr="003A3E55" w:rsidP="003A3E55" w14:paraId="396E8ADA" w14:textId="77777777">
            <w:pPr>
              <w:spacing w:before="120" w:after="120"/>
              <w:rPr>
                <w:b/>
              </w:rPr>
            </w:pPr>
            <w:r w:rsidRPr="003A3E55">
              <w:rPr>
                <w:b/>
              </w:rPr>
              <w:t>9.</w:t>
            </w:r>
          </w:p>
        </w:tc>
        <w:tc>
          <w:tcPr>
            <w:tcW w:w="8285" w:type="dxa"/>
          </w:tcPr>
          <w:p w:rsidR="00AF251E" w:rsidRPr="003A3E55" w:rsidP="009F7158" w14:paraId="60D194C0" w14:textId="77777777">
            <w:pPr>
              <w:spacing w:before="120" w:after="120"/>
              <w:rPr>
                <w:bCs/>
              </w:rPr>
            </w:pPr>
            <w:r w:rsidRPr="000C0749">
              <w:rPr>
                <w:b/>
              </w:rPr>
              <w:t>Fecha propuesta de adopción:</w:t>
            </w:r>
            <w:r w:rsidRPr="006A63E9">
              <w:t xml:space="preserve"> -</w:t>
            </w:r>
          </w:p>
          <w:p w:rsidR="00AF251E" w:rsidRPr="003A3E55" w:rsidP="009F7158" w14:paraId="6344757F" w14:textId="77777777">
            <w:pPr>
              <w:spacing w:after="120"/>
              <w:rPr>
                <w:b/>
              </w:rPr>
            </w:pPr>
            <w:r w:rsidRPr="000C0749">
              <w:rPr>
                <w:b/>
              </w:rPr>
              <w:t>Fecha propuesta de adopción y entrada en vigor:</w:t>
            </w:r>
            <w:r w:rsidRPr="006A63E9">
              <w:t xml:space="preserve"> -</w:t>
            </w:r>
          </w:p>
        </w:tc>
      </w:tr>
      <w:tr w14:paraId="178688A5" w14:textId="77777777" w:rsidTr="000F6A25">
        <w:tblPrEx>
          <w:tblW w:w="5000" w:type="pct"/>
          <w:tblLayout w:type="fixed"/>
          <w:tblLook w:val="0000"/>
        </w:tblPrEx>
        <w:tc>
          <w:tcPr>
            <w:tcW w:w="695" w:type="dxa"/>
            <w:tcBorders>
              <w:bottom w:val="double" w:sz="4" w:space="0" w:color="auto"/>
            </w:tcBorders>
          </w:tcPr>
          <w:p w:rsidR="00A52F73" w:rsidRPr="003A3E55" w:rsidP="003A3E55" w14:paraId="7873154C"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72050602"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5C46F3D" w14:textId="77777777">
            <w:pPr>
              <w:spacing w:before="120" w:after="120"/>
              <w:rPr>
                <w:bCs/>
              </w:rPr>
            </w:pPr>
            <w:r w:rsidRPr="003A3E55">
              <w:rPr>
                <w:b/>
              </w:rPr>
              <w:t>Fecha límite para la presentación de observaciones:</w:t>
            </w:r>
            <w:r w:rsidRPr="003A3E55" w:rsidR="00AF251E">
              <w:t xml:space="preserve"> 31 de julio de 2026</w:t>
            </w:r>
          </w:p>
          <w:p w:rsidR="005F0B7B" w:rsidRPr="000C0749" w:rsidP="005F0B7B" w14:paraId="1BEC6263"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68720AB"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18FD1C83" w14:textId="77777777">
            <w:pPr>
              <w:rPr>
                <w:bCs/>
              </w:rPr>
            </w:pPr>
            <w:r>
              <w:rPr>
                <w:bCs/>
              </w:rPr>
              <w:t>Subsecretaría de Relaciones Económicas Internacionales (SUBREI)</w:t>
            </w:r>
          </w:p>
          <w:p w:rsidR="00F70F54" w:rsidP="003A3E55" w14:paraId="413B7FA4" w14:textId="77777777">
            <w:pPr>
              <w:rPr>
                <w:bCs/>
              </w:rPr>
            </w:pPr>
            <w:r>
              <w:rPr>
                <w:bCs/>
              </w:rPr>
              <w:t>Ministerio de Relaciones Exteriores</w:t>
            </w:r>
          </w:p>
          <w:p w:rsidR="00F70F54" w:rsidP="003A3E55" w14:paraId="229C9D4F" w14:textId="77777777">
            <w:pPr>
              <w:rPr>
                <w:bCs/>
              </w:rPr>
            </w:pPr>
            <w:r>
              <w:rPr>
                <w:bCs/>
              </w:rPr>
              <w:t>Teatinos 180, piso 11</w:t>
            </w:r>
          </w:p>
          <w:p w:rsidR="00F70F54" w:rsidP="003A3E55" w14:paraId="6D4B944C" w14:textId="77777777">
            <w:pPr>
              <w:rPr>
                <w:bCs/>
              </w:rPr>
            </w:pPr>
            <w:r>
              <w:rPr>
                <w:bCs/>
              </w:rPr>
              <w:t>Teléfono: (+56)- 2- 2827 5251</w:t>
            </w:r>
          </w:p>
          <w:p w:rsidR="00F70F54" w:rsidP="003A3E55" w14:paraId="07851515"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1F34D665"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606D633"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305174A7"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F587841"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89F8A36" w14:textId="77777777">
    <w:pPr>
      <w:pStyle w:val="Header"/>
      <w:pBdr>
        <w:bottom w:val="single" w:sz="4" w:space="1" w:color="auto"/>
      </w:pBdr>
      <w:tabs>
        <w:tab w:val="clear" w:pos="4513"/>
        <w:tab w:val="clear" w:pos="9027"/>
      </w:tabs>
      <w:jc w:val="center"/>
    </w:pPr>
    <w:r w:rsidRPr="003A3E55">
      <w:t>tbtSymbol</w:t>
    </w:r>
  </w:p>
  <w:p w:rsidR="00B531D9" w:rsidRPr="003A3E55" w:rsidP="00B531D9" w14:paraId="6B85FCAD" w14:textId="77777777">
    <w:pPr>
      <w:pStyle w:val="Header"/>
      <w:pBdr>
        <w:bottom w:val="single" w:sz="4" w:space="1" w:color="auto"/>
      </w:pBdr>
      <w:tabs>
        <w:tab w:val="clear" w:pos="4513"/>
        <w:tab w:val="clear" w:pos="9027"/>
      </w:tabs>
      <w:jc w:val="center"/>
    </w:pPr>
  </w:p>
  <w:p w:rsidR="00B531D9" w:rsidRPr="003A3E55" w:rsidP="00B531D9" w14:paraId="0E3B687F"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1824762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94B57D2" w14:textId="77777777">
    <w:pPr>
      <w:pStyle w:val="Header"/>
      <w:pBdr>
        <w:bottom w:val="single" w:sz="4" w:space="1" w:color="auto"/>
      </w:pBdr>
      <w:tabs>
        <w:tab w:val="clear" w:pos="4513"/>
        <w:tab w:val="clear" w:pos="9027"/>
      </w:tabs>
      <w:jc w:val="center"/>
    </w:pPr>
    <w:bookmarkStart w:id="0" w:name="spsSymbolHeader"/>
    <w:r w:rsidRPr="003A3E55">
      <w:t>G/TBT/N/CHL/796</w:t>
    </w:r>
    <w:bookmarkEnd w:id="0"/>
  </w:p>
  <w:p w:rsidR="00B531D9" w:rsidRPr="003A3E55" w:rsidP="00B531D9" w14:paraId="5A75112B" w14:textId="77777777">
    <w:pPr>
      <w:pStyle w:val="Header"/>
      <w:pBdr>
        <w:bottom w:val="single" w:sz="4" w:space="1" w:color="auto"/>
      </w:pBdr>
      <w:tabs>
        <w:tab w:val="clear" w:pos="4513"/>
        <w:tab w:val="clear" w:pos="9027"/>
      </w:tabs>
      <w:jc w:val="center"/>
    </w:pPr>
  </w:p>
  <w:p w:rsidR="00B531D9" w:rsidRPr="003A3E55" w:rsidP="00B531D9" w14:paraId="58207E74"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71A00E3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8D5DC7A"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364D5A4E"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508E295E" w14:textId="77777777">
          <w:pPr>
            <w:jc w:val="right"/>
            <w:rPr>
              <w:b/>
              <w:color w:val="FF0000"/>
              <w:szCs w:val="18"/>
            </w:rPr>
          </w:pPr>
        </w:p>
      </w:tc>
    </w:tr>
    <w:bookmarkEnd w:id="1"/>
    <w:tr w14:paraId="731C208F"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3F7832A6"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013BEDBD" w14:textId="77777777">
          <w:pPr>
            <w:jc w:val="right"/>
            <w:rPr>
              <w:b/>
              <w:szCs w:val="18"/>
            </w:rPr>
          </w:pPr>
        </w:p>
      </w:tc>
    </w:tr>
    <w:tr w14:paraId="1C4DAF18"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1919F0EF"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133CBDE5" w14:textId="77777777">
          <w:pPr>
            <w:jc w:val="right"/>
            <w:rPr>
              <w:b/>
              <w:szCs w:val="18"/>
            </w:rPr>
          </w:pPr>
          <w:bookmarkStart w:id="2" w:name="bmkSymbols"/>
          <w:r w:rsidRPr="003A3E55">
            <w:rPr>
              <w:b/>
              <w:szCs w:val="18"/>
            </w:rPr>
            <w:t>G/TBT/N/CHL/796</w:t>
          </w:r>
          <w:bookmarkEnd w:id="2"/>
        </w:p>
      </w:tc>
    </w:tr>
    <w:tr w14:paraId="79FA2BCA"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6B42E85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00D80310" w14:textId="77777777">
          <w:pPr>
            <w:jc w:val="right"/>
            <w:rPr>
              <w:szCs w:val="18"/>
            </w:rPr>
          </w:pPr>
          <w:bookmarkStart w:id="3" w:name="spsDateDistribution"/>
          <w:bookmarkStart w:id="4" w:name="bmkDate"/>
          <w:r w:rsidRPr="00674766">
            <w:rPr>
              <w:szCs w:val="18"/>
            </w:rPr>
            <w:t>1 de junio de 2026</w:t>
          </w:r>
          <w:bookmarkEnd w:id="3"/>
          <w:bookmarkEnd w:id="4"/>
        </w:p>
      </w:tc>
    </w:tr>
    <w:tr w14:paraId="2E9FDCF7"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0D6EE052" w14:textId="77777777">
          <w:pPr>
            <w:jc w:val="left"/>
            <w:rPr>
              <w:b/>
              <w:szCs w:val="18"/>
            </w:rPr>
          </w:pPr>
          <w:bookmarkStart w:id="5" w:name="bmkSerial"/>
          <w:r>
            <w:rPr>
              <w:rFonts w:ascii="Verdana" w:eastAsia="Verdana" w:hAnsi="Verdana" w:cs="Verdana"/>
              <w:b w:val="0"/>
              <w:color w:val="FF0000"/>
              <w:sz w:val="18"/>
            </w:rPr>
            <w:t>(26-4003)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71A05312"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6B6138CF"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45ECBA49"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25B35218"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0BCD521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2464477">
    <w:abstractNumId w:val="8"/>
  </w:num>
  <w:num w:numId="2" w16cid:durableId="1204907180">
    <w:abstractNumId w:val="3"/>
  </w:num>
  <w:num w:numId="3" w16cid:durableId="1787192691">
    <w:abstractNumId w:val="2"/>
  </w:num>
  <w:num w:numId="4" w16cid:durableId="1170490291">
    <w:abstractNumId w:val="1"/>
  </w:num>
  <w:num w:numId="5" w16cid:durableId="1369453840">
    <w:abstractNumId w:val="0"/>
  </w:num>
  <w:num w:numId="6" w16cid:durableId="2007048794">
    <w:abstractNumId w:val="12"/>
  </w:num>
  <w:num w:numId="7" w16cid:durableId="1445071805">
    <w:abstractNumId w:val="10"/>
  </w:num>
  <w:num w:numId="8" w16cid:durableId="978458454">
    <w:abstractNumId w:val="13"/>
  </w:num>
  <w:num w:numId="9" w16cid:durableId="914819597">
    <w:abstractNumId w:val="9"/>
  </w:num>
  <w:num w:numId="10" w16cid:durableId="1256744999">
    <w:abstractNumId w:val="7"/>
  </w:num>
  <w:num w:numId="11" w16cid:durableId="1964534892">
    <w:abstractNumId w:val="6"/>
  </w:num>
  <w:num w:numId="12" w16cid:durableId="460727775">
    <w:abstractNumId w:val="5"/>
  </w:num>
  <w:num w:numId="13" w16cid:durableId="772751702">
    <w:abstractNumId w:val="4"/>
  </w:num>
  <w:num w:numId="14" w16cid:durableId="867067769">
    <w:abstractNumId w:val="11"/>
  </w:num>
  <w:num w:numId="15" w16cid:durableId="45566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3EA4"/>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7403A"/>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A5CD8"/>
    <w:rsid w:val="00AB72E2"/>
    <w:rsid w:val="00AC7C4D"/>
    <w:rsid w:val="00AD1003"/>
    <w:rsid w:val="00AD2FD7"/>
    <w:rsid w:val="00AD59FD"/>
    <w:rsid w:val="00AE3C0C"/>
    <w:rsid w:val="00AF251E"/>
    <w:rsid w:val="00AF33E8"/>
    <w:rsid w:val="00B016F2"/>
    <w:rsid w:val="00B03A79"/>
    <w:rsid w:val="00B043C7"/>
    <w:rsid w:val="00B07663"/>
    <w:rsid w:val="00B1574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82050"/>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33E1"/>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76FB0E"/>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2815_00_s.pdf"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D04E289-3559-433C-AFAD-FC0BDD47313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3</cp:revision>
  <dcterms:created xsi:type="dcterms:W3CDTF">2026-06-01T07:23:00Z</dcterms:created>
  <dcterms:modified xsi:type="dcterms:W3CDTF">2026-06-01T07:37:00Z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PUBLIC</vt:lpwstr>
  </property>
</Properties>
</file>