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025F090" w14:textId="77777777">
      <w:pPr>
        <w:pStyle w:val="Title"/>
      </w:pPr>
      <w:r w:rsidRPr="002F663C">
        <w:t>NOTIFICATION</w:t>
      </w:r>
    </w:p>
    <w:p w:rsidR="002F663C" w:rsidRPr="002F663C" w:rsidP="00DD3DD7" w14:paraId="3A8A8D4B" w14:textId="77777777">
      <w:pPr>
        <w:pStyle w:val="Title3"/>
      </w:pPr>
      <w:r w:rsidRPr="002F663C">
        <w:t>Addendum</w:t>
      </w:r>
    </w:p>
    <w:p w:rsidR="002F663C" w:rsidP="001E2E4A" w14:paraId="705B4CE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19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9A37318" w14:textId="77777777">
      <w:pPr>
        <w:rPr>
          <w:rFonts w:eastAsia="Calibri" w:cs="Times New Roman"/>
        </w:rPr>
      </w:pPr>
    </w:p>
    <w:p w:rsidR="002F663C" w:rsidRPr="002F663C" w:rsidP="002F663C" w14:paraId="0E834CBE" w14:textId="77777777">
      <w:pPr>
        <w:jc w:val="center"/>
        <w:rPr>
          <w:rFonts w:eastAsia="Calibri" w:cs="Times New Roman"/>
          <w:b/>
        </w:rPr>
      </w:pPr>
      <w:r w:rsidRPr="002F663C">
        <w:rPr>
          <w:rFonts w:eastAsia="Calibri" w:cs="Times New Roman"/>
          <w:b/>
        </w:rPr>
        <w:t>_______________</w:t>
      </w:r>
    </w:p>
    <w:p w:rsidR="002F663C" w:rsidP="002F663C" w14:paraId="5E23D396" w14:textId="77777777">
      <w:pPr>
        <w:rPr>
          <w:rFonts w:eastAsia="Calibri" w:cs="Times New Roman"/>
        </w:rPr>
      </w:pPr>
    </w:p>
    <w:p w:rsidR="00C14444" w:rsidRPr="002F663C" w:rsidP="002F663C" w14:paraId="1F791509" w14:textId="77777777">
      <w:pPr>
        <w:rPr>
          <w:rFonts w:eastAsia="Calibri" w:cs="Times New Roman"/>
        </w:rPr>
      </w:pPr>
    </w:p>
    <w:p w:rsidR="002F663C" w:rsidRPr="002F663C" w:rsidP="002F663C" w14:paraId="0328B13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Extension of the Date by Which Neck Floats Must Be Tested and Certified Subject to the Submission of Samples</w:t>
      </w:r>
    </w:p>
    <w:p w:rsidR="002F663C" w:rsidRPr="002F663C" w:rsidP="002F663C" w14:paraId="4B22841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DD958A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63301D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270E541" w14:textId="77777777" w:rsidTr="00E9471B">
        <w:tblPrEx>
          <w:tblW w:w="9049" w:type="dxa"/>
          <w:tblLayout w:type="fixed"/>
          <w:tblLook w:val="04A0"/>
        </w:tblPrEx>
        <w:tc>
          <w:tcPr>
            <w:tcW w:w="851" w:type="dxa"/>
          </w:tcPr>
          <w:p w:rsidR="002F663C" w:rsidRPr="00711F9C" w:rsidP="00C14444" w14:paraId="462B2BE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14014F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AB3FC60" w14:textId="77777777" w:rsidTr="00E9471B">
        <w:tblPrEx>
          <w:tblW w:w="9049" w:type="dxa"/>
          <w:tblLayout w:type="fixed"/>
          <w:tblLook w:val="04A0"/>
        </w:tblPrEx>
        <w:tc>
          <w:tcPr>
            <w:tcW w:w="851" w:type="dxa"/>
          </w:tcPr>
          <w:p w:rsidR="002F663C" w:rsidRPr="00711F9C" w:rsidP="00C14444" w14:paraId="1017B7D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8F3C40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39A7524" w14:textId="77777777" w:rsidTr="00E9471B">
        <w:tblPrEx>
          <w:tblW w:w="9049" w:type="dxa"/>
          <w:tblLayout w:type="fixed"/>
          <w:tblLook w:val="04A0"/>
        </w:tblPrEx>
        <w:tc>
          <w:tcPr>
            <w:tcW w:w="851" w:type="dxa"/>
          </w:tcPr>
          <w:p w:rsidR="002F663C" w:rsidRPr="00711F9C" w:rsidP="00C14444" w14:paraId="25E5B72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8B1446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6AC6C34" w14:textId="77777777" w:rsidTr="00E9471B">
        <w:tblPrEx>
          <w:tblW w:w="9049" w:type="dxa"/>
          <w:tblLayout w:type="fixed"/>
          <w:tblLook w:val="04A0"/>
        </w:tblPrEx>
        <w:tc>
          <w:tcPr>
            <w:tcW w:w="851" w:type="dxa"/>
          </w:tcPr>
          <w:p w:rsidR="002F663C" w:rsidRPr="00711F9C" w:rsidP="00C14444" w14:paraId="178CCFC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0CD0A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19039DBB" w14:textId="77777777" w:rsidTr="00E9471B">
        <w:tblPrEx>
          <w:tblW w:w="9049" w:type="dxa"/>
          <w:tblLayout w:type="fixed"/>
          <w:tblLook w:val="04A0"/>
        </w:tblPrEx>
        <w:tc>
          <w:tcPr>
            <w:tcW w:w="851" w:type="dxa"/>
          </w:tcPr>
          <w:p w:rsidR="002F663C" w:rsidRPr="00711F9C" w:rsidP="00C14444" w14:paraId="2FBFFE2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386E4C7"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AC287B0" w14:textId="77777777" w:rsidTr="00E9471B">
        <w:tblPrEx>
          <w:tblW w:w="9049" w:type="dxa"/>
          <w:tblLayout w:type="fixed"/>
          <w:tblLook w:val="04A0"/>
        </w:tblPrEx>
        <w:tc>
          <w:tcPr>
            <w:tcW w:w="851" w:type="dxa"/>
          </w:tcPr>
          <w:p w:rsidR="002F663C" w:rsidRPr="00711F9C" w:rsidP="00C14444" w14:paraId="3AC6D71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936641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6ABE02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B43CD29" w14:textId="77777777" w:rsidTr="00E9471B">
        <w:tblPrEx>
          <w:tblW w:w="9049" w:type="dxa"/>
          <w:tblLayout w:type="fixed"/>
          <w:tblLook w:val="04A0"/>
        </w:tblPrEx>
        <w:tc>
          <w:tcPr>
            <w:tcW w:w="851" w:type="dxa"/>
          </w:tcPr>
          <w:p w:rsidR="002F663C" w:rsidRPr="00711F9C" w:rsidP="00C14444" w14:paraId="13DC572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707984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969CF5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E765599" w14:textId="77777777" w:rsidTr="00E9471B">
        <w:tblPrEx>
          <w:tblW w:w="9049" w:type="dxa"/>
          <w:tblLayout w:type="fixed"/>
          <w:tblLook w:val="04A0"/>
        </w:tblPrEx>
        <w:tc>
          <w:tcPr>
            <w:tcW w:w="851" w:type="dxa"/>
          </w:tcPr>
          <w:p w:rsidR="002F663C" w:rsidRPr="00711F9C" w:rsidP="00C14444" w14:paraId="7322A39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2E9CD5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7EF6EC0" w14:textId="77777777" w:rsidTr="00E9471B">
        <w:tblPrEx>
          <w:tblW w:w="9049" w:type="dxa"/>
          <w:tblLayout w:type="fixed"/>
          <w:tblLook w:val="04A0"/>
        </w:tblPrEx>
        <w:tc>
          <w:tcPr>
            <w:tcW w:w="851" w:type="dxa"/>
            <w:tcBorders>
              <w:bottom w:val="double" w:sz="4" w:space="0" w:color="auto"/>
            </w:tcBorders>
          </w:tcPr>
          <w:p w:rsidR="002F663C" w:rsidRPr="00711F9C" w:rsidP="00C14444" w14:paraId="0CBE98C4"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06F743F0"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56F61285" w14:textId="77777777">
            <w:pPr>
              <w:spacing w:before="120" w:after="120"/>
              <w:rPr>
                <w:rFonts w:eastAsia="Calibri" w:cs="Times New Roman"/>
              </w:rPr>
            </w:pPr>
            <w:r>
              <w:rPr>
                <w:rFonts w:eastAsia="Calibri" w:cs="Times New Roman"/>
              </w:rPr>
              <w:t>Notice of extension of date of testing and certification of neck floats to 16 August 2026 for eligible manufacturers or importers that have submitted a sample</w:t>
            </w:r>
          </w:p>
          <w:p w:rsidR="00467A46" w:rsidP="00EB7B40" w14:paraId="39316B55"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https://members.wto.org/crnattachments/2026/TBT/USA/26_02669_00_e.pdf</w:t>
              </w:r>
            </w:hyperlink>
          </w:p>
        </w:tc>
      </w:tr>
      <w:bookmarkEnd w:id="0"/>
    </w:tbl>
    <w:p w:rsidR="002F663C" w:rsidRPr="002F663C" w:rsidP="002F663C" w14:paraId="7778918A" w14:textId="77777777">
      <w:pPr>
        <w:jc w:val="left"/>
        <w:rPr>
          <w:rFonts w:eastAsia="Calibri" w:cs="Times New Roman"/>
          <w:highlight w:val="yellow"/>
        </w:rPr>
      </w:pPr>
    </w:p>
    <w:p w:rsidR="003971FF" w:rsidRPr="007F6EA2" w:rsidP="00B16ACF" w14:paraId="67745A8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U.S. Consumer Product Safety Commission (Commission or CPSC) is announcing that the Commission is extending, by 60 days, the date by which manufacturers (including importers) of neck floats must comply with the third party testing and certification requirements for children's products under the Consumer Product Safety Act (</w:t>
      </w:r>
      <w:hyperlink r:id="rId8" w:history="1">
        <w:r w:rsidRPr="002F663C">
          <w:rPr>
            <w:rFonts w:eastAsia="Calibri" w:cs="Times New Roman"/>
            <w:color w:val="0000FF"/>
            <w:szCs w:val="18"/>
            <w:u w:val="single"/>
          </w:rPr>
          <w:t>CPSA</w:t>
        </w:r>
      </w:hyperlink>
      <w:r w:rsidRPr="002F663C">
        <w:rPr>
          <w:rFonts w:eastAsia="Calibri" w:cs="Times New Roman"/>
          <w:szCs w:val="18"/>
        </w:rPr>
        <w:t>). The extension is being provided because the Commission has determined that there is an insufficient number of third party conformity assessment bodies accredited by the Commission to permit testing and certification of neck floats by the effective date of 15 June 2026. To be eligible for this extension, manufacturers (including importers) must submit a sample of the finished product, intended for sale, to the Commission. This extension for third party testing and certification does not apply to any other</w:t>
      </w:r>
      <w:r w:rsidRPr="002F663C">
        <w:rPr>
          <w:rFonts w:eastAsia="Calibri" w:cs="Times New Roman"/>
          <w:szCs w:val="18"/>
        </w:rPr>
        <w:t xml:space="preserve"> requirements of the neck float final rule. All neck floats within the scope of the neck float final rule </w:t>
      </w:r>
      <w:r w:rsidRPr="002F663C">
        <w:rPr>
          <w:rFonts w:eastAsia="Calibri" w:cs="Times New Roman"/>
          <w:szCs w:val="18"/>
        </w:rPr>
        <w:t xml:space="preserve">must be sold in compliance with all other requirements of that rule as of 15 June 2026, the effective date of the </w:t>
      </w:r>
      <w:hyperlink r:id="rId9" w:history="1">
        <w:r w:rsidRPr="002F663C">
          <w:rPr>
            <w:rFonts w:eastAsia="Calibri" w:cs="Times New Roman"/>
            <w:color w:val="0000FF"/>
            <w:szCs w:val="18"/>
            <w:u w:val="single"/>
          </w:rPr>
          <w:t>final rule</w:t>
        </w:r>
      </w:hyperlink>
      <w:r w:rsidRPr="002F663C">
        <w:rPr>
          <w:rFonts w:eastAsia="Calibri" w:cs="Times New Roman"/>
          <w:szCs w:val="18"/>
        </w:rPr>
        <w:t xml:space="preserve"> (notified as </w:t>
      </w:r>
      <w:hyperlink r:id="rId10" w:history="1">
        <w:r w:rsidRPr="002F663C">
          <w:rPr>
            <w:rFonts w:eastAsia="Calibri" w:cs="Times New Roman"/>
            <w:color w:val="0000FF"/>
            <w:szCs w:val="18"/>
            <w:u w:val="single"/>
          </w:rPr>
          <w:t>G/TBT/N/USA/2161/Add.1</w:t>
        </w:r>
      </w:hyperlink>
      <w:r w:rsidRPr="002F663C">
        <w:rPr>
          <w:rFonts w:eastAsia="Calibri" w:cs="Times New Roman"/>
          <w:szCs w:val="18"/>
        </w:rPr>
        <w:t xml:space="preserve">). </w:t>
      </w:r>
    </w:p>
    <w:p w:rsidR="00CA60A2" w:rsidRPr="002F663C" w:rsidP="00B16ACF" w14:paraId="75C12555" w14:textId="77777777">
      <w:pPr>
        <w:spacing w:before="120" w:after="120"/>
        <w:rPr>
          <w:rFonts w:eastAsia="Calibri" w:cs="Times New Roman"/>
          <w:szCs w:val="18"/>
        </w:rPr>
      </w:pPr>
      <w:r w:rsidRPr="002F663C">
        <w:rPr>
          <w:rFonts w:eastAsia="Calibri" w:cs="Times New Roman"/>
          <w:szCs w:val="18"/>
        </w:rPr>
        <w:t>For eligible manufacturers or importers who have submitted a sample to the Commission, the date after which neck floats must be tested by third party conformity assessment bodies accredited by the Commission to assess conformity with the CPSC regulations for neck floats is extended until 16 August 2026.</w:t>
      </w:r>
    </w:p>
    <w:p w:rsidR="00CA60A2" w:rsidRPr="002F663C" w:rsidP="00B16ACF" w14:paraId="0DC2349A" w14:textId="77777777">
      <w:pPr>
        <w:spacing w:before="120" w:after="120"/>
        <w:rPr>
          <w:rFonts w:eastAsia="Calibri" w:cs="Times New Roman"/>
          <w:szCs w:val="18"/>
        </w:rPr>
      </w:pPr>
      <w:r w:rsidRPr="002F663C">
        <w:rPr>
          <w:rFonts w:eastAsia="Calibri" w:cs="Times New Roman"/>
          <w:szCs w:val="18"/>
        </w:rPr>
        <w:t>91 Federal Register (FR) 29118, 19 May 2026:</w:t>
      </w:r>
    </w:p>
    <w:p w:rsidR="00CA60A2" w:rsidRPr="002F663C" w:rsidP="00B16ACF" w14:paraId="6E68C232"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https://www.govinfo.gov/content/pkg/FR-2026-05-19/html/2026-09977.htm</w:t>
        </w:r>
      </w:hyperlink>
    </w:p>
    <w:p w:rsidR="00CA60A2" w:rsidRPr="002F663C" w:rsidP="00B16ACF" w14:paraId="43EEF897"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https://www.govinfo.gov/content/pkg/FR-2026-05-19/pdf/2026-09977.pdf</w:t>
        </w:r>
      </w:hyperlink>
    </w:p>
    <w:p w:rsidR="00CA60A2" w:rsidRPr="002F663C" w:rsidP="00B16ACF" w14:paraId="41C39F95"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3" w:history="1">
        <w:r w:rsidRPr="002F663C">
          <w:rPr>
            <w:rFonts w:eastAsia="Calibri" w:cs="Times New Roman"/>
            <w:color w:val="0000FF"/>
            <w:szCs w:val="18"/>
            <w:u w:val="single"/>
          </w:rPr>
          <w:t>G/TBT/N/USA/2161</w:t>
        </w:r>
      </w:hyperlink>
      <w:r w:rsidRPr="002F663C">
        <w:rPr>
          <w:rFonts w:eastAsia="Calibri" w:cs="Times New Roman"/>
          <w:szCs w:val="18"/>
        </w:rPr>
        <w:t xml:space="preserve"> are identified by Docket Number CPSC-2024-0039. The Docket Folder is available from Regulations.gov at </w:t>
      </w:r>
      <w:hyperlink r:id="rId14" w:history="1">
        <w:r w:rsidRPr="002F663C">
          <w:rPr>
            <w:rFonts w:eastAsia="Calibri" w:cs="Times New Roman"/>
            <w:color w:val="0000FF"/>
            <w:szCs w:val="18"/>
            <w:u w:val="single"/>
          </w:rPr>
          <w:t>https://www.regulations.gov/docket/CPSC-2024-0039/document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08CDF218" w14:textId="77777777">
      <w:pPr>
        <w:jc w:val="center"/>
        <w:rPr>
          <w:b/>
        </w:rPr>
      </w:pPr>
      <w:r w:rsidRPr="003971FF">
        <w:rPr>
          <w:b/>
        </w:rPr>
        <w:t>__________</w:t>
      </w:r>
    </w:p>
    <w:p w:rsidR="004D4D19" w:rsidP="007F38C2" w14:paraId="5FCD49D3" w14:textId="77777777">
      <w:pPr>
        <w:jc w:val="center"/>
        <w:rPr>
          <w:b/>
        </w:rPr>
      </w:pPr>
    </w:p>
    <w:p w:rsidR="00A1565D" w:rsidP="003971FF" w14:paraId="61960BF3"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968F62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D6E466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F881632" w14:textId="77777777">
      <w:r>
        <w:separator/>
      </w:r>
    </w:p>
  </w:footnote>
  <w:footnote w:type="continuationSeparator" w:id="1">
    <w:p w:rsidR="004D3A6A" w:rsidP="00ED54E0" w14:paraId="3A1F7B78" w14:textId="77777777">
      <w:r>
        <w:continuationSeparator/>
      </w:r>
    </w:p>
  </w:footnote>
  <w:footnote w:id="2">
    <w:p w:rsidR="007F6EA2" w14:paraId="56E72EF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FD72BB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CB4FF8C" w14:textId="77777777">
    <w:pPr>
      <w:pStyle w:val="Header"/>
      <w:pBdr>
        <w:bottom w:val="single" w:sz="4" w:space="1" w:color="auto"/>
      </w:pBdr>
      <w:tabs>
        <w:tab w:val="clear" w:pos="4513"/>
        <w:tab w:val="clear" w:pos="9027"/>
      </w:tabs>
      <w:jc w:val="center"/>
    </w:pPr>
  </w:p>
  <w:p w:rsidR="00DD3DD7" w:rsidRPr="00DD3DD7" w:rsidP="00DD3DD7" w14:paraId="66BC5F3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39CE9F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B6DF7CA" w14:textId="77777777">
    <w:pPr>
      <w:pStyle w:val="Header"/>
      <w:pBdr>
        <w:bottom w:val="single" w:sz="4" w:space="1" w:color="auto"/>
      </w:pBdr>
      <w:tabs>
        <w:tab w:val="clear" w:pos="4513"/>
        <w:tab w:val="clear" w:pos="9027"/>
      </w:tabs>
      <w:jc w:val="center"/>
    </w:pPr>
    <w:bookmarkStart w:id="3" w:name="spsSymbolHeader"/>
    <w:r w:rsidRPr="00DD3DD7">
      <w:t>G/TBT/N/USA/2161/Add.2</w:t>
    </w:r>
    <w:bookmarkEnd w:id="3"/>
  </w:p>
  <w:p w:rsidR="00DD3DD7" w:rsidRPr="00DD3DD7" w:rsidP="00DD3DD7" w14:paraId="74C7F32C" w14:textId="77777777">
    <w:pPr>
      <w:pStyle w:val="Header"/>
      <w:pBdr>
        <w:bottom w:val="single" w:sz="4" w:space="1" w:color="auto"/>
      </w:pBdr>
      <w:tabs>
        <w:tab w:val="clear" w:pos="4513"/>
        <w:tab w:val="clear" w:pos="9027"/>
      </w:tabs>
      <w:jc w:val="center"/>
    </w:pPr>
  </w:p>
  <w:p w:rsidR="00DD3DD7" w:rsidRPr="00DD3DD7" w:rsidP="00DD3DD7" w14:paraId="35C8C35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1F9B64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E9148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DD973D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A3DE78F" w14:textId="77777777">
          <w:pPr>
            <w:jc w:val="right"/>
            <w:rPr>
              <w:b/>
              <w:color w:val="FF0000"/>
              <w:szCs w:val="16"/>
            </w:rPr>
          </w:pPr>
          <w:r>
            <w:rPr>
              <w:b/>
              <w:color w:val="FF0000"/>
              <w:szCs w:val="16"/>
            </w:rPr>
            <w:t xml:space="preserve"> </w:t>
          </w:r>
        </w:p>
      </w:tc>
    </w:tr>
    <w:tr w14:paraId="497877A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FC4F54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20373A6" w14:textId="77777777">
          <w:pPr>
            <w:jc w:val="right"/>
            <w:rPr>
              <w:b/>
              <w:szCs w:val="16"/>
            </w:rPr>
          </w:pPr>
        </w:p>
      </w:tc>
    </w:tr>
    <w:tr w14:paraId="7D00C90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D922A8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B76BBCF" w14:textId="77777777">
          <w:pPr>
            <w:jc w:val="right"/>
            <w:rPr>
              <w:rFonts w:eastAsia="Calibri" w:cs="Times New Roman"/>
              <w:b/>
              <w:szCs w:val="16"/>
            </w:rPr>
          </w:pPr>
          <w:bookmarkStart w:id="4" w:name="bmkSymbols"/>
          <w:r w:rsidRPr="002F663C">
            <w:rPr>
              <w:rFonts w:eastAsia="Calibri" w:cs="Times New Roman"/>
              <w:b/>
              <w:szCs w:val="16"/>
            </w:rPr>
            <w:t>G/TBT/N/USA/2161/Add.2</w:t>
          </w:r>
          <w:bookmarkEnd w:id="4"/>
        </w:p>
        <w:p w:rsidR="00C14444" w:rsidRPr="00C14444" w:rsidP="00C14444" w14:paraId="750FDF92" w14:textId="77777777">
          <w:pPr>
            <w:jc w:val="center"/>
            <w:rPr>
              <w:szCs w:val="16"/>
            </w:rPr>
          </w:pPr>
        </w:p>
      </w:tc>
    </w:tr>
    <w:tr w14:paraId="5369471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22D7F25" w14:textId="77777777"/>
      </w:tc>
      <w:tc>
        <w:tcPr>
          <w:tcW w:w="5448" w:type="dxa"/>
          <w:gridSpan w:val="2"/>
          <w:shd w:val="clear" w:color="auto" w:fill="FFFFFF"/>
          <w:tcMar>
            <w:left w:w="108" w:type="dxa"/>
            <w:right w:w="108" w:type="dxa"/>
          </w:tcMar>
          <w:vAlign w:val="center"/>
        </w:tcPr>
        <w:p w:rsidR="00ED54E0" w:rsidRPr="00182B84" w:rsidP="00425DC5" w14:paraId="46736151" w14:textId="77777777">
          <w:pPr>
            <w:jc w:val="right"/>
            <w:rPr>
              <w:szCs w:val="16"/>
            </w:rPr>
          </w:pPr>
          <w:bookmarkStart w:id="5" w:name="bmkDate"/>
          <w:r w:rsidRPr="00182B84">
            <w:rPr>
              <w:szCs w:val="16"/>
            </w:rPr>
            <w:t>20 May 2026</w:t>
          </w:r>
          <w:bookmarkEnd w:id="5"/>
        </w:p>
      </w:tc>
    </w:tr>
    <w:tr w14:paraId="16C6119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8D89E44" w14:textId="77777777">
          <w:pPr>
            <w:jc w:val="left"/>
            <w:rPr>
              <w:b/>
            </w:rPr>
          </w:pPr>
          <w:bookmarkStart w:id="6" w:name="bmkSerial"/>
          <w:r>
            <w:rPr>
              <w:rFonts w:ascii="Verdana" w:eastAsia="Verdana" w:hAnsi="Verdana" w:cs="Verdana"/>
              <w:b w:val="0"/>
              <w:color w:val="FF0000"/>
              <w:sz w:val="18"/>
            </w:rPr>
            <w:t>(26-3748)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93C3B9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AE7BD3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79E186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71A66D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751C3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27452377">
    <w:abstractNumId w:val="9"/>
  </w:num>
  <w:num w:numId="2" w16cid:durableId="1449354790">
    <w:abstractNumId w:val="7"/>
  </w:num>
  <w:num w:numId="3" w16cid:durableId="1439330393">
    <w:abstractNumId w:val="6"/>
  </w:num>
  <w:num w:numId="4" w16cid:durableId="66807036">
    <w:abstractNumId w:val="5"/>
  </w:num>
  <w:num w:numId="5" w16cid:durableId="1591543110">
    <w:abstractNumId w:val="4"/>
  </w:num>
  <w:num w:numId="6" w16cid:durableId="379787718">
    <w:abstractNumId w:val="12"/>
  </w:num>
  <w:num w:numId="7" w16cid:durableId="258566126">
    <w:abstractNumId w:val="11"/>
  </w:num>
  <w:num w:numId="8" w16cid:durableId="1097945379">
    <w:abstractNumId w:val="10"/>
  </w:num>
  <w:num w:numId="9" w16cid:durableId="454524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3389209">
    <w:abstractNumId w:val="13"/>
  </w:num>
  <w:num w:numId="11" w16cid:durableId="1289900306">
    <w:abstractNumId w:val="8"/>
  </w:num>
  <w:num w:numId="12" w16cid:durableId="1966933020">
    <w:abstractNumId w:val="3"/>
  </w:num>
  <w:num w:numId="13" w16cid:durableId="1715231489">
    <w:abstractNumId w:val="2"/>
  </w:num>
  <w:num w:numId="14" w16cid:durableId="346710928">
    <w:abstractNumId w:val="1"/>
  </w:num>
  <w:num w:numId="15" w16cid:durableId="107430958">
    <w:abstractNumId w:val="0"/>
  </w:num>
  <w:num w:numId="16" w16cid:durableId="4183466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B4AB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92575"/>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A60A2"/>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225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2161/Add.1" TargetMode="External" /><Relationship Id="rId11" Type="http://schemas.openxmlformats.org/officeDocument/2006/relationships/hyperlink" Target="https://www.govinfo.gov/content/pkg/FR-2026-05-19/html/2026-09977.htm" TargetMode="External" /><Relationship Id="rId12" Type="http://schemas.openxmlformats.org/officeDocument/2006/relationships/hyperlink" Target="https://www.govinfo.gov/content/pkg/FR-2026-05-19/pdf/2026-09977.pdf" TargetMode="External" /><Relationship Id="rId13" Type="http://schemas.openxmlformats.org/officeDocument/2006/relationships/hyperlink" Target="https://eping.wto.org/en/Search?domainIds=1&amp;documentSymbol=usa%2F2161" TargetMode="External" /><Relationship Id="rId14" Type="http://schemas.openxmlformats.org/officeDocument/2006/relationships/hyperlink" Target="https://www.regulations.gov/docket/CPSC-2024-0039/document" TargetMode="External" /><Relationship Id="rId15" Type="http://schemas.openxmlformats.org/officeDocument/2006/relationships/hyperlink" Target="http://www.regulations.gov/"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2669_00_e.pdf" TargetMode="External" /><Relationship Id="rId8" Type="http://schemas.openxmlformats.org/officeDocument/2006/relationships/hyperlink" Target="https://www.cpsc.gov/s3fs-public/pdfs/blk_media_cpsa.pdf?epslanguage=en" TargetMode="External" /><Relationship Id="rId9" Type="http://schemas.openxmlformats.org/officeDocument/2006/relationships/hyperlink" Target="https://www.govinfo.gov/content/pkg/FR-2025-12-15/pdf/2025-22827.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98744BC-E9D1-4CCE-BC96-400856972E2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2026-05-20T09:59:00Z</dcterms:created>
  <dcterms:modified xsi:type="dcterms:W3CDTF">2026-05-20T09:59:00Z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