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D59F61" w14:textId="77777777">
      <w:pPr>
        <w:pStyle w:val="Title"/>
      </w:pPr>
      <w:r w:rsidRPr="002F663C">
        <w:t>NOTIFICATION</w:t>
      </w:r>
    </w:p>
    <w:p w:rsidR="002F663C" w:rsidRPr="002F663C" w:rsidP="00DD3DD7" w14:paraId="085044A7" w14:textId="77777777">
      <w:pPr>
        <w:pStyle w:val="Title3"/>
      </w:pPr>
      <w:r w:rsidRPr="002F663C">
        <w:t>Addendum</w:t>
      </w:r>
    </w:p>
    <w:p w:rsidR="002F663C" w:rsidP="001E2E4A" w14:paraId="0A666A4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606D9D7" w14:textId="77777777">
      <w:pPr>
        <w:rPr>
          <w:rFonts w:eastAsia="Calibri" w:cs="Times New Roman"/>
        </w:rPr>
      </w:pPr>
    </w:p>
    <w:p w:rsidR="002F663C" w:rsidRPr="002F663C" w:rsidP="002F663C" w14:paraId="1FDFD69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38FFC7" w14:textId="77777777">
      <w:pPr>
        <w:rPr>
          <w:rFonts w:eastAsia="Calibri" w:cs="Times New Roman"/>
        </w:rPr>
      </w:pPr>
    </w:p>
    <w:p w:rsidR="00C14444" w:rsidRPr="002F663C" w:rsidP="002F663C" w14:paraId="4AB95EB7" w14:textId="77777777">
      <w:pPr>
        <w:rPr>
          <w:rFonts w:eastAsia="Calibri" w:cs="Times New Roman"/>
        </w:rPr>
      </w:pPr>
    </w:p>
    <w:p w:rsidR="002F663C" w:rsidRPr="002F663C" w:rsidP="002F663C" w14:paraId="4473822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Event Data Recorders</w:t>
      </w:r>
    </w:p>
    <w:p w:rsidR="002F663C" w:rsidRPr="002F663C" w:rsidP="002F663C" w14:paraId="1E53D1D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63943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0A5817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A4BA9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398C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BD82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CAA57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A6EE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224B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27134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DABB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B4EA0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May 2026</w:t>
            </w:r>
          </w:p>
        </w:tc>
      </w:tr>
      <w:tr w14:paraId="21F9D4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0693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5FEC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17 June 2026; This final rule adopts a four-year phase-in period that begins 1 September 2028 to comply with part 563, as amended by the 18 December 2024 final rule. Under the four-year phase- in, 25 percent of a manufacturer's applicable vehicles produced from 1 September 2028 to 31 August 2029 must comply with part 563 as amended by the final rule published on 18 December 2024, "Event Data Recorders," followed by 50 percent from 1 September 2029 to 31 August 2030,</w:t>
            </w:r>
            <w:r w:rsidRPr="002F663C">
              <w:rPr>
                <w:rFonts w:eastAsia="Calibri" w:cs="Times New Roman"/>
              </w:rPr>
              <w:t xml:space="preserve"> 75 percent from 1 September 2030 to 31 August 2031, and 100 percent on and after 1 September 2031. Applicable vehicles produced by small-volume and limited-line manufacturers are required to comply beginning 1 September 2032. Applicable vehicles manufactured in two or more stages or that are altered are not required to comply with the rule until on or after 1 September 2033. Voluntary early compliance is permitted. Petitions for reconsideration of this final rule must be received by 2 July 2026.</w:t>
            </w:r>
          </w:p>
        </w:tc>
      </w:tr>
      <w:tr w14:paraId="462C19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4A49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4E24C2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88F228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https://members.wto.org/crnattachments/2026/TBT/USA/final_measure/26_02654_00_e.pdf</w:t>
              </w:r>
            </w:hyperlink>
          </w:p>
        </w:tc>
      </w:tr>
      <w:tr w14:paraId="36F703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D3F9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1617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1842E7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F5C2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5FDC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A71F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783E2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1099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2707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D67BE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9C93D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7DF2A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7836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83FF9C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95DF0E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final rule amends the National Highway Traffic Safety Administration (NHTSA) regulation governing Event Data Recorders (EDR or EDRs) to delay the implementation schedule for </w:t>
      </w:r>
      <w:r w:rsidRPr="002F663C">
        <w:rPr>
          <w:rFonts w:eastAsia="Calibri" w:cs="Times New Roman"/>
          <w:szCs w:val="18"/>
        </w:rPr>
        <w:t xml:space="preserve">expanded pre-crash data capture requirements. In response to petitions for reconsideration of a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published on 18 December 2024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G/TBT/N/USA/1881/Add.1</w:t>
        </w:r>
      </w:hyperlink>
      <w:r w:rsidRPr="002F663C">
        <w:rPr>
          <w:rFonts w:eastAsia="Calibri" w:cs="Times New Roman"/>
          <w:szCs w:val="18"/>
        </w:rPr>
        <w:t>), the agency is adopting a four-year phase-in compliance schedule that begins 1 September 2028. This action ensures the increased pre-crash data capture requirements are integrated into the vehicle fleet in a manner that aligns with manufacturer production cycles and technical feasibility.</w:t>
      </w:r>
    </w:p>
    <w:p w:rsidR="00372E64" w:rsidRPr="002F663C" w:rsidP="00B16ACF" w14:paraId="63EEBA4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rule is effective 17 June 2026.</w:t>
      </w:r>
    </w:p>
    <w:p w:rsidR="00372E64" w:rsidRPr="002F663C" w:rsidP="00B16ACF" w14:paraId="586E48F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Compliance Dates: This final rule adopts a four-year phase-in period that begins 1 September 2028 to comply with part 563, as amended by the 18 December 2024 final rule. Under the four-year phase- in, 25 percent of a manufacturer's applicable vehicles produced from 1 September 2028 to 31 August 2029 must comply with part 563 as amended by the final rule published on 18 December 2024, ''Event Data Recorders,'' followed by 50 percent from 1 September 2029 to 31 August 2030, 75 percent from 1 September 2030 to</w:t>
      </w:r>
      <w:r w:rsidRPr="002F663C">
        <w:rPr>
          <w:rFonts w:eastAsia="Calibri" w:cs="Times New Roman"/>
          <w:szCs w:val="18"/>
        </w:rPr>
        <w:t xml:space="preserve"> 31 August 2031, and 100 percent on and after 1 September 2031. Applicable vehicles produced by small-volume and limited-line manufacturers are required to comply beginning 1 September 2032. Applicable vehicles manufactured in two or more stages or that are altered are not required to comply with the rule until on or after 1 September 2033. Voluntary early compliance is permitted.</w:t>
      </w:r>
    </w:p>
    <w:p w:rsidR="00372E64" w:rsidRPr="002F663C" w:rsidP="00B16ACF" w14:paraId="19F2AE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 of this rule must be received by 2 July 2026.</w:t>
      </w:r>
    </w:p>
    <w:p w:rsidR="00372E64" w:rsidRPr="002F663C" w:rsidP="00B16ACF" w14:paraId="0E243F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28432, 18 May 2026;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563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585</w:t>
        </w:r>
      </w:hyperlink>
      <w:r w:rsidRPr="002F663C">
        <w:rPr>
          <w:rFonts w:eastAsia="Calibri" w:cs="Times New Roman"/>
          <w:szCs w:val="18"/>
        </w:rPr>
        <w:t>:</w:t>
      </w:r>
    </w:p>
    <w:p w:rsidR="00372E64" w:rsidRPr="002F663C" w:rsidP="00B16ACF" w14:paraId="1FB149BC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https://www.govinfo.gov/content/pkg/FR-2026-05-18/html/2026-09849.htm</w:t>
        </w:r>
      </w:hyperlink>
    </w:p>
    <w:p w:rsidR="00372E64" w:rsidRPr="002F663C" w:rsidP="00B16ACF" w14:paraId="6F668118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https://www.govinfo.gov/content/pkg/FR-2026-05-18/pdf/2026-09849.pdf</w:t>
        </w:r>
      </w:hyperlink>
    </w:p>
    <w:p w:rsidR="00372E64" w:rsidRPr="002F663C" w:rsidP="00B16ACF" w14:paraId="4A7360B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is identified by Docket Number NHTSA-2025-0050. The Docket Folder is available from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https://www.regulations.gov/docket/NHTSA-2025-0050/document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interested in petitioning for reconsideration of this final rule are asked to submit comments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 July 2026. Comments concerning petitions for reconsideration received by the USA TBT Enquiry Point from WTO Members and their stakeholders will be shared with NHTSA.</w:t>
      </w:r>
    </w:p>
    <w:p w:rsidR="00372E64" w:rsidRPr="002F663C" w:rsidP="00B16ACF" w14:paraId="475235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Other actions notified under the symbol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G/TBT/N/USA/1881</w:t>
        </w:r>
      </w:hyperlink>
      <w:r w:rsidRPr="002F663C">
        <w:rPr>
          <w:rFonts w:eastAsia="Calibri" w:cs="Times New Roman"/>
          <w:szCs w:val="18"/>
        </w:rPr>
        <w:t xml:space="preserve"> are identified by Docket Numbers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NHTSA-2022-0021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NHTSA-2024-0084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NHTSA-2025-0050</w:t>
        </w:r>
      </w:hyperlink>
      <w:r w:rsidRPr="002F663C">
        <w:rPr>
          <w:rFonts w:eastAsia="Calibri" w:cs="Times New Roman"/>
          <w:szCs w:val="18"/>
        </w:rPr>
        <w:t xml:space="preserve">. Those links provide access to primary and supporting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Numbers.</w:t>
      </w:r>
    </w:p>
    <w:p w:rsidR="006C5A96" w:rsidP="006C5A96" w14:paraId="37C8501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AB63FD4" w14:textId="77777777">
      <w:pPr>
        <w:jc w:val="center"/>
        <w:rPr>
          <w:b/>
        </w:rPr>
      </w:pPr>
    </w:p>
    <w:p w:rsidR="00A1565D" w:rsidP="003971FF" w14:paraId="5CBB72F1" w14:textId="77777777">
      <w:pPr>
        <w:jc w:val="center"/>
        <w:rPr>
          <w:b/>
        </w:rPr>
      </w:pPr>
    </w:p>
    <w:sectPr w:rsidSect="006C5A9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3F5B3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5DC2A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E788487" w14:textId="77777777">
      <w:r>
        <w:separator/>
      </w:r>
    </w:p>
  </w:footnote>
  <w:footnote w:type="continuationSeparator" w:id="1">
    <w:p w:rsidR="004D3A6A" w:rsidP="00ED54E0" w14:paraId="00ABFE60" w14:textId="77777777">
      <w:r>
        <w:continuationSeparator/>
      </w:r>
    </w:p>
  </w:footnote>
  <w:footnote w:id="2">
    <w:p w:rsidR="007F6EA2" w14:paraId="7C726A3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068B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22D4A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93D2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8073E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C2302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G/TBT/N/USA/1881/Add.5</w:t>
    </w:r>
    <w:bookmarkEnd w:id="3"/>
  </w:p>
  <w:p w:rsidR="00DD3DD7" w:rsidRPr="00DD3DD7" w:rsidP="00DD3DD7" w14:paraId="062C9C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814D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38E2F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6A9C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DCE93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ECF47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DC617F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F3270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2D0283" w14:textId="77777777">
          <w:pPr>
            <w:jc w:val="right"/>
            <w:rPr>
              <w:b/>
              <w:szCs w:val="16"/>
            </w:rPr>
          </w:pPr>
        </w:p>
      </w:tc>
    </w:tr>
    <w:tr w14:paraId="3328B3D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9171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BCF24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G/TBT/N/USA/1881/Add.5</w:t>
          </w:r>
          <w:bookmarkEnd w:id="4"/>
        </w:p>
        <w:p w:rsidR="00C14444" w:rsidRPr="00C14444" w:rsidP="00C14444" w14:paraId="24A6EEED" w14:textId="77777777">
          <w:pPr>
            <w:jc w:val="center"/>
            <w:rPr>
              <w:szCs w:val="16"/>
            </w:rPr>
          </w:pPr>
        </w:p>
      </w:tc>
    </w:tr>
    <w:tr w14:paraId="26C6C8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8927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B21B1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2026</w:t>
          </w:r>
          <w:bookmarkEnd w:id="5"/>
        </w:p>
      </w:tc>
    </w:tr>
    <w:tr w14:paraId="6C01789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06D3B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(26-3701)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F48E3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2BA75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7B850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AA5CE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63639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096077">
    <w:abstractNumId w:val="9"/>
  </w:num>
  <w:num w:numId="2" w16cid:durableId="1075661335">
    <w:abstractNumId w:val="7"/>
  </w:num>
  <w:num w:numId="3" w16cid:durableId="1359312636">
    <w:abstractNumId w:val="6"/>
  </w:num>
  <w:num w:numId="4" w16cid:durableId="133378009">
    <w:abstractNumId w:val="5"/>
  </w:num>
  <w:num w:numId="5" w16cid:durableId="710224314">
    <w:abstractNumId w:val="4"/>
  </w:num>
  <w:num w:numId="6" w16cid:durableId="779452191">
    <w:abstractNumId w:val="12"/>
  </w:num>
  <w:num w:numId="7" w16cid:durableId="2007318710">
    <w:abstractNumId w:val="11"/>
  </w:num>
  <w:num w:numId="8" w16cid:durableId="2139564097">
    <w:abstractNumId w:val="10"/>
  </w:num>
  <w:num w:numId="9" w16cid:durableId="1593081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718253">
    <w:abstractNumId w:val="13"/>
  </w:num>
  <w:num w:numId="11" w16cid:durableId="2047481408">
    <w:abstractNumId w:val="8"/>
  </w:num>
  <w:num w:numId="12" w16cid:durableId="1080367818">
    <w:abstractNumId w:val="3"/>
  </w:num>
  <w:num w:numId="13" w16cid:durableId="362049763">
    <w:abstractNumId w:val="2"/>
  </w:num>
  <w:num w:numId="14" w16cid:durableId="1778791294">
    <w:abstractNumId w:val="1"/>
  </w:num>
  <w:num w:numId="15" w16cid:durableId="1121991623">
    <w:abstractNumId w:val="0"/>
  </w:num>
  <w:num w:numId="16" w16cid:durableId="14250309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2E64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2424"/>
    <w:rsid w:val="008B1018"/>
    <w:rsid w:val="008C42D2"/>
    <w:rsid w:val="008E2C13"/>
    <w:rsid w:val="008E372C"/>
    <w:rsid w:val="00917235"/>
    <w:rsid w:val="00992AEA"/>
    <w:rsid w:val="009A4D36"/>
    <w:rsid w:val="009A6F54"/>
    <w:rsid w:val="009B02D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B0E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" TargetMode="External" /><Relationship Id="rId11" Type="http://schemas.openxmlformats.org/officeDocument/2006/relationships/hyperlink" Target="https://www.ecfr.gov/current/title-49/subtitle-B/chapter-V/part-563" TargetMode="External" /><Relationship Id="rId12" Type="http://schemas.openxmlformats.org/officeDocument/2006/relationships/hyperlink" Target="https://www.ecfr.gov/current/title-49/subtitle-B/chapter-V/part-585" TargetMode="External" /><Relationship Id="rId13" Type="http://schemas.openxmlformats.org/officeDocument/2006/relationships/hyperlink" Target="https://www.govinfo.gov/content/pkg/FR-2026-05-18/html/2026-09849.htm" TargetMode="External" /><Relationship Id="rId14" Type="http://schemas.openxmlformats.org/officeDocument/2006/relationships/hyperlink" Target="https://www.govinfo.gov/content/pkg/FR-2026-05-18/pdf/2026-09849.pdf" TargetMode="External" /><Relationship Id="rId15" Type="http://schemas.openxmlformats.org/officeDocument/2006/relationships/hyperlink" Target="https://www.regulations.gov/docket/NHTSA-2025-0050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mailto:usatbtep@nist.gov" TargetMode="External" /><Relationship Id="rId18" Type="http://schemas.openxmlformats.org/officeDocument/2006/relationships/hyperlink" Target="http://time-time.net/times/time-zones/usa-canada/current-eastern-time-est.php" TargetMode="External" /><Relationship Id="rId19" Type="http://schemas.openxmlformats.org/officeDocument/2006/relationships/hyperlink" Target="https://24timezones.com/time-zone/et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eping.wto.org/en/Search?viewData=G/TBT/N/USA/1881" TargetMode="External" /><Relationship Id="rId21" Type="http://schemas.openxmlformats.org/officeDocument/2006/relationships/hyperlink" Target="https://www.regulations.gov/docket/NHTSA-2022-0021/document" TargetMode="External" /><Relationship Id="rId22" Type="http://schemas.openxmlformats.org/officeDocument/2006/relationships/hyperlink" Target="https://www.regulations.gov/docket/NHTSA-2024-0084/document" TargetMode="External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footer" Target="footer2.xml" /><Relationship Id="rId27" Type="http://schemas.openxmlformats.org/officeDocument/2006/relationships/header" Target="head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webSettings" Target="webSettings.xml" /><Relationship Id="rId30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2654_00_e.pdf" TargetMode="External" /><Relationship Id="rId8" Type="http://schemas.openxmlformats.org/officeDocument/2006/relationships/hyperlink" Target="https://www.govinfo.gov/content/pkg/FR-2024-12-18/pdf/2024-29862.pdf" TargetMode="External" /><Relationship Id="rId9" Type="http://schemas.openxmlformats.org/officeDocument/2006/relationships/hyperlink" Target="https://eping.wto.org/en/Search?viewData=G/TBT/N/USA/1881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BF7BE2-4AEB-4B2A-B3F3-D3FFFB69530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2026-05-19T07:45:00Z</dcterms:created>
  <dcterms:modified xsi:type="dcterms:W3CDTF">2026-05-19T07:45:00Z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