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74D6A13" w14:textId="77777777">
      <w:pPr>
        <w:pStyle w:val="Title"/>
        <w:rPr>
          <w:caps w:val="0"/>
          <w:kern w:val="0"/>
        </w:rPr>
      </w:pPr>
      <w:r w:rsidRPr="002F6A28">
        <w:rPr>
          <w:caps w:val="0"/>
          <w:kern w:val="0"/>
        </w:rPr>
        <w:t>NOTIFICATION</w:t>
      </w:r>
    </w:p>
    <w:p w:rsidR="009239F7" w:rsidRPr="002F6A28" w:rsidP="002F6A28" w14:paraId="5FEB2681" w14:textId="77777777">
      <w:pPr>
        <w:jc w:val="center"/>
      </w:pPr>
      <w:r w:rsidRPr="002F6A28">
        <w:t>The following notification is being circulated in accordance with Article 10.6</w:t>
      </w:r>
    </w:p>
    <w:p w:rsidR="009239F7" w:rsidRPr="002F6A28" w:rsidP="002F6A28" w14:paraId="5B31074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015BFAF" w14:textId="77777777" w:rsidTr="00DB13FE">
        <w:tblPrEx>
          <w:tblW w:w="5000" w:type="pct"/>
          <w:tblLayout w:type="fixed"/>
          <w:tblLook w:val="0000"/>
        </w:tblPrEx>
        <w:tc>
          <w:tcPr>
            <w:tcW w:w="607" w:type="dxa"/>
            <w:tcBorders>
              <w:top w:val="double" w:sz="4" w:space="0" w:color="auto"/>
            </w:tcBorders>
          </w:tcPr>
          <w:p w:rsidR="00F85C99" w:rsidRPr="002F6A28" w:rsidP="002F6A28" w14:paraId="02F0A4D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4F02CC9" w14:textId="77777777">
            <w:pPr>
              <w:spacing w:before="120" w:after="120"/>
            </w:pPr>
            <w:r w:rsidRPr="002F6A28">
              <w:rPr>
                <w:b/>
              </w:rPr>
              <w:t>Notifying Member:</w:t>
            </w:r>
            <w:r w:rsidRPr="00C92678" w:rsidR="00EE3A11">
              <w:t xml:space="preserve"> </w:t>
            </w:r>
            <w:r w:rsidRPr="00C92678" w:rsidR="00EE3A11">
              <w:rPr>
                <w:u w:val="single"/>
              </w:rPr>
              <w:t>PHILIPPINES</w:t>
            </w:r>
          </w:p>
          <w:p w:rsidR="00F85C99" w:rsidRPr="002F6A28" w:rsidP="002F6A28" w14:paraId="6CF2F7B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B234B3F" w14:textId="77777777" w:rsidTr="00DB13FE">
        <w:tblPrEx>
          <w:tblW w:w="5000" w:type="pct"/>
          <w:tblLayout w:type="fixed"/>
          <w:tblLook w:val="0000"/>
        </w:tblPrEx>
        <w:tc>
          <w:tcPr>
            <w:tcW w:w="607" w:type="dxa"/>
          </w:tcPr>
          <w:p w:rsidR="00F85C99" w:rsidRPr="002F6A28" w:rsidP="002F6A28" w14:paraId="1D6769D4" w14:textId="77777777">
            <w:pPr>
              <w:spacing w:before="120" w:after="120"/>
              <w:jc w:val="left"/>
            </w:pPr>
            <w:r w:rsidRPr="002F6A28">
              <w:rPr>
                <w:b/>
              </w:rPr>
              <w:t>2.</w:t>
            </w:r>
          </w:p>
        </w:tc>
        <w:tc>
          <w:tcPr>
            <w:tcW w:w="8373" w:type="dxa"/>
          </w:tcPr>
          <w:p w:rsidR="00F85C99" w:rsidRPr="002F6A28" w:rsidP="000C3B6C" w14:paraId="2353A7E9" w14:textId="77777777">
            <w:pPr>
              <w:spacing w:before="120" w:after="120"/>
            </w:pPr>
            <w:r w:rsidRPr="002F6A28">
              <w:rPr>
                <w:b/>
              </w:rPr>
              <w:t>Agency responsible:</w:t>
            </w:r>
            <w:r w:rsidRPr="00C379C8" w:rsidR="00EE3A11">
              <w:t xml:space="preserve"> </w:t>
            </w:r>
          </w:p>
          <w:p w:rsidR="00EE3A11" w:rsidRPr="00C379C8" w:rsidP="000C3B6C" w14:paraId="5B5D4A78" w14:textId="77777777">
            <w:r w:rsidRPr="00C379C8">
              <w:t>Food and Drug Administration</w:t>
            </w:r>
          </w:p>
          <w:p w:rsidR="00EE3A11" w:rsidRPr="00C379C8" w:rsidP="000C3B6C" w14:paraId="24FEB99C" w14:textId="77777777">
            <w:pPr>
              <w:spacing w:after="120"/>
            </w:pPr>
            <w:r w:rsidRPr="00C379C8">
              <w:t>DEPARTMENT OF HEALTH</w:t>
            </w:r>
          </w:p>
        </w:tc>
      </w:tr>
      <w:tr w14:paraId="1DAE1F19" w14:textId="77777777" w:rsidTr="00DB13FE">
        <w:tblPrEx>
          <w:tblW w:w="5000" w:type="pct"/>
          <w:tblLayout w:type="fixed"/>
          <w:tblLook w:val="0000"/>
        </w:tblPrEx>
        <w:tc>
          <w:tcPr>
            <w:tcW w:w="607" w:type="dxa"/>
          </w:tcPr>
          <w:p w:rsidR="00F85C99" w:rsidRPr="002F6A28" w:rsidP="002F6A28" w14:paraId="740A84DA" w14:textId="77777777">
            <w:pPr>
              <w:spacing w:before="120" w:after="120"/>
              <w:jc w:val="left"/>
              <w:rPr>
                <w:b/>
              </w:rPr>
            </w:pPr>
            <w:r w:rsidRPr="002F6A28">
              <w:rPr>
                <w:b/>
              </w:rPr>
              <w:t>3.</w:t>
            </w:r>
          </w:p>
        </w:tc>
        <w:tc>
          <w:tcPr>
            <w:tcW w:w="8373" w:type="dxa"/>
          </w:tcPr>
          <w:p w:rsidR="00F85C99" w:rsidRPr="0058336F" w:rsidP="002F6A28" w14:paraId="52979EA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003617D" w14:textId="77777777" w:rsidTr="00DB13FE">
        <w:tblPrEx>
          <w:tblW w:w="5000" w:type="pct"/>
          <w:tblLayout w:type="fixed"/>
          <w:tblLook w:val="0000"/>
        </w:tblPrEx>
        <w:tc>
          <w:tcPr>
            <w:tcW w:w="607" w:type="dxa"/>
          </w:tcPr>
          <w:p w:rsidR="00F85C99" w:rsidRPr="002F6A28" w:rsidP="002F6A28" w14:paraId="3BEBBEED" w14:textId="77777777">
            <w:pPr>
              <w:spacing w:before="120" w:after="120"/>
              <w:jc w:val="left"/>
            </w:pPr>
            <w:r w:rsidRPr="002F6A28">
              <w:rPr>
                <w:b/>
              </w:rPr>
              <w:t>4.</w:t>
            </w:r>
          </w:p>
        </w:tc>
        <w:tc>
          <w:tcPr>
            <w:tcW w:w="8373" w:type="dxa"/>
          </w:tcPr>
          <w:p w:rsidR="00F85C99" w:rsidRPr="002F6A28" w:rsidP="002F6A28" w14:paraId="5E08507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Pharmaceutics (ICS code(s): 11.120)</w:t>
            </w:r>
          </w:p>
        </w:tc>
      </w:tr>
      <w:tr w14:paraId="3AAFE9DE" w14:textId="77777777" w:rsidTr="00DB13FE">
        <w:tblPrEx>
          <w:tblW w:w="5000" w:type="pct"/>
          <w:tblLayout w:type="fixed"/>
          <w:tblLook w:val="0000"/>
        </w:tblPrEx>
        <w:tc>
          <w:tcPr>
            <w:tcW w:w="607" w:type="dxa"/>
          </w:tcPr>
          <w:p w:rsidR="00F85C99" w:rsidRPr="002F6A28" w:rsidP="002F6A28" w14:paraId="1CBFA8BE" w14:textId="77777777">
            <w:pPr>
              <w:spacing w:before="120" w:after="120"/>
              <w:jc w:val="left"/>
            </w:pPr>
            <w:r w:rsidRPr="002F6A28">
              <w:rPr>
                <w:b/>
              </w:rPr>
              <w:t>5.</w:t>
            </w:r>
          </w:p>
        </w:tc>
        <w:tc>
          <w:tcPr>
            <w:tcW w:w="8373" w:type="dxa"/>
          </w:tcPr>
          <w:p w:rsidR="00F85C99" w:rsidP="002F6A28" w14:paraId="7FB93A9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Recognition and Adoption of Official Pharmacopeias for the Registration of Pharmaceutical Products and Active Pharmaceutical Ingredients for Human Use; (3 page(s), in English)</w:t>
            </w:r>
          </w:p>
          <w:p w:rsidR="000C3B6C" w:rsidRPr="000C3B6C" w:rsidP="002F6A28" w14:paraId="0008C78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444F6" w:rsidRPr="00CE6C29" w:rsidP="002F6A28" w14:paraId="6BDB1EB1"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https://members.wto.org/crnattachments/2026/TBT/PHL/26_02604_00_e.pdf</w:t>
              </w:r>
            </w:hyperlink>
          </w:p>
          <w:p w:rsidR="00D444F6" w:rsidP="002F6A28" w14:paraId="5035634A" w14:textId="77777777">
            <w:hyperlink r:id="rId7" w:tgtFrame="_blank" w:history="1">
              <w:r w:rsidRPr="00CE6C29">
                <w:rPr>
                  <w:iCs/>
                  <w:color w:val="0000FF"/>
                  <w:u w:val="single"/>
                </w:rPr>
                <w:t>https://www.fda.gov.ph/draft-for-comments-recognition-and-adoption-of-official-pharmacopeias-for-the-registration-of-pharmaceutical-products-and-active-pharmaceutical-ingredients-for-human-use/</w:t>
              </w:r>
            </w:hyperlink>
          </w:p>
          <w:p w:rsidR="00A56485" w:rsidRPr="00CE6C29" w:rsidP="002F6A28" w14:paraId="7B7CB056" w14:textId="77777777">
            <w:pPr>
              <w:rPr>
                <w:iCs/>
              </w:rPr>
            </w:pPr>
          </w:p>
          <w:p w:rsidR="00D444F6" w:rsidRPr="00CE6C29" w:rsidP="002F6A28" w14:paraId="2B2EE03B" w14:textId="77777777">
            <w:pPr>
              <w:rPr>
                <w:iCs/>
              </w:rPr>
            </w:pPr>
            <w:r w:rsidRPr="00CE6C29">
              <w:rPr>
                <w:iCs/>
              </w:rPr>
              <w:t>Dr. Charmaine Ann M. Rabago</w:t>
            </w:r>
          </w:p>
          <w:p w:rsidR="00D444F6" w:rsidRPr="00CE6C29" w:rsidP="002F6A28" w14:paraId="405D02D0" w14:textId="77777777">
            <w:pPr>
              <w:rPr>
                <w:iCs/>
              </w:rPr>
            </w:pPr>
            <w:r w:rsidRPr="00CE6C29">
              <w:rPr>
                <w:iCs/>
              </w:rPr>
              <w:t>Officer-in-Charge, Director IV</w:t>
            </w:r>
          </w:p>
          <w:p w:rsidR="00D444F6" w:rsidRPr="00CE6C29" w:rsidP="002F6A28" w14:paraId="4B41B510" w14:textId="77777777">
            <w:pPr>
              <w:rPr>
                <w:iCs/>
              </w:rPr>
            </w:pPr>
            <w:r w:rsidRPr="00CE6C29">
              <w:rPr>
                <w:iCs/>
              </w:rPr>
              <w:t>Center for Drug Regulation and Research</w:t>
            </w:r>
          </w:p>
          <w:p w:rsidR="00D444F6" w:rsidRPr="00CE6C29" w:rsidP="002F6A28" w14:paraId="32CBF5F0" w14:textId="77777777">
            <w:pPr>
              <w:rPr>
                <w:iCs/>
              </w:rPr>
            </w:pPr>
            <w:r w:rsidRPr="00CE6C29">
              <w:rPr>
                <w:iCs/>
              </w:rPr>
              <w:t>Food and Drug Administration</w:t>
            </w:r>
          </w:p>
          <w:p w:rsidR="00D444F6" w:rsidRPr="00CE6C29" w:rsidP="002F6A28" w14:paraId="55A6CAD5" w14:textId="77777777">
            <w:pPr>
              <w:rPr>
                <w:iCs/>
              </w:rPr>
            </w:pPr>
            <w:r w:rsidRPr="00CE6C29">
              <w:rPr>
                <w:iCs/>
              </w:rPr>
              <w:t>DEPARTMENT OF HEALTH</w:t>
            </w:r>
          </w:p>
          <w:p w:rsidR="00D444F6" w:rsidRPr="00CE6C29" w:rsidP="002F6A28" w14:paraId="7AC034A0" w14:textId="77777777">
            <w:pPr>
              <w:spacing w:after="120"/>
              <w:rPr>
                <w:iCs/>
              </w:rPr>
            </w:pPr>
            <w:r w:rsidRPr="00CE6C29">
              <w:rPr>
                <w:iCs/>
              </w:rPr>
              <w:t xml:space="preserve">Email: </w:t>
            </w:r>
            <w:hyperlink r:id="rId8" w:history="1">
              <w:r w:rsidRPr="00CE6C29">
                <w:rPr>
                  <w:iCs/>
                  <w:color w:val="0000FF"/>
                  <w:u w:val="single"/>
                </w:rPr>
                <w:t>cdrr.od@fda.gov.ph</w:t>
              </w:r>
            </w:hyperlink>
            <w:r w:rsidRPr="00CE6C29">
              <w:rPr>
                <w:iCs/>
              </w:rPr>
              <w:t xml:space="preserve">, </w:t>
            </w:r>
            <w:hyperlink r:id="rId9" w:history="1">
              <w:r w:rsidRPr="00CE6C29">
                <w:rPr>
                  <w:iCs/>
                  <w:color w:val="0000FF"/>
                  <w:u w:val="single"/>
                </w:rPr>
                <w:t>cdrr@fda.gov.ph</w:t>
              </w:r>
            </w:hyperlink>
            <w:r w:rsidRPr="00CE6C29">
              <w:rPr>
                <w:iCs/>
              </w:rPr>
              <w:t xml:space="preserve">, </w:t>
            </w:r>
            <w:hyperlink r:id="rId10" w:history="1">
              <w:r w:rsidRPr="00CE6C29">
                <w:rPr>
                  <w:iCs/>
                  <w:color w:val="0000FF"/>
                  <w:u w:val="single"/>
                </w:rPr>
                <w:t>cdrr.sds@fda.gov.ph</w:t>
              </w:r>
            </w:hyperlink>
            <w:r w:rsidRPr="00CE6C29">
              <w:rPr>
                <w:iCs/>
              </w:rPr>
              <w:t xml:space="preserve">, </w:t>
            </w:r>
            <w:hyperlink r:id="rId11" w:history="1">
              <w:r w:rsidRPr="00CE6C29">
                <w:rPr>
                  <w:iCs/>
                  <w:color w:val="0000FF"/>
                  <w:u w:val="single"/>
                </w:rPr>
                <w:t>bps@dti.gov.ph</w:t>
              </w:r>
            </w:hyperlink>
          </w:p>
        </w:tc>
      </w:tr>
      <w:tr w14:paraId="7AB8DC5B" w14:textId="77777777" w:rsidTr="00DB13FE">
        <w:tblPrEx>
          <w:tblW w:w="5000" w:type="pct"/>
          <w:tblLayout w:type="fixed"/>
          <w:tblLook w:val="0000"/>
        </w:tblPrEx>
        <w:tc>
          <w:tcPr>
            <w:tcW w:w="607" w:type="dxa"/>
          </w:tcPr>
          <w:p w:rsidR="00F85C99" w:rsidRPr="002F6A28" w:rsidP="002F6A28" w14:paraId="09ABBA5A" w14:textId="77777777">
            <w:pPr>
              <w:spacing w:before="120" w:after="120"/>
              <w:jc w:val="left"/>
              <w:rPr>
                <w:b/>
              </w:rPr>
            </w:pPr>
            <w:r w:rsidRPr="002F6A28">
              <w:rPr>
                <w:b/>
              </w:rPr>
              <w:t>6.</w:t>
            </w:r>
          </w:p>
        </w:tc>
        <w:tc>
          <w:tcPr>
            <w:tcW w:w="8373" w:type="dxa"/>
          </w:tcPr>
          <w:p w:rsidR="00F85C99" w:rsidRPr="002F6A28" w:rsidP="002F6A28" w14:paraId="1C18B3DD" w14:textId="77777777">
            <w:pPr>
              <w:spacing w:before="120" w:after="120"/>
              <w:rPr>
                <w:b/>
              </w:rPr>
            </w:pPr>
            <w:r w:rsidRPr="002F6A28">
              <w:rPr>
                <w:b/>
              </w:rPr>
              <w:t>Description of content:</w:t>
            </w:r>
            <w:r w:rsidRPr="00C379C8" w:rsidR="00FE448B">
              <w:t xml:space="preserve"> The policy recognizes and adopts official pharmacopeias to be used as reference for the registration of pharmaceutical products and active pharmaceutical ingredients for human use in the Philippines</w:t>
            </w:r>
          </w:p>
        </w:tc>
      </w:tr>
      <w:tr w14:paraId="0D08F065" w14:textId="77777777" w:rsidTr="00DB13FE">
        <w:tblPrEx>
          <w:tblW w:w="5000" w:type="pct"/>
          <w:tblLayout w:type="fixed"/>
          <w:tblLook w:val="0000"/>
        </w:tblPrEx>
        <w:tc>
          <w:tcPr>
            <w:tcW w:w="607" w:type="dxa"/>
          </w:tcPr>
          <w:p w:rsidR="00F85C99" w:rsidRPr="002F6A28" w:rsidP="002F6A28" w14:paraId="20EA7C4E" w14:textId="77777777">
            <w:pPr>
              <w:spacing w:before="120" w:after="120"/>
              <w:jc w:val="left"/>
              <w:rPr>
                <w:b/>
              </w:rPr>
            </w:pPr>
            <w:r w:rsidRPr="002F6A28">
              <w:rPr>
                <w:b/>
              </w:rPr>
              <w:t>7.</w:t>
            </w:r>
          </w:p>
        </w:tc>
        <w:tc>
          <w:tcPr>
            <w:tcW w:w="8373" w:type="dxa"/>
          </w:tcPr>
          <w:p w:rsidR="00F85C99" w:rsidRPr="002F6A28" w:rsidP="002F6A28" w14:paraId="5EAF8FE1" w14:textId="77777777">
            <w:pPr>
              <w:spacing w:before="120" w:after="120"/>
              <w:rPr>
                <w:b/>
              </w:rPr>
            </w:pPr>
            <w:r w:rsidRPr="002F6A28">
              <w:rPr>
                <w:b/>
              </w:rPr>
              <w:t>Objective and rationale, including the nature of urgent problems where applicable:</w:t>
            </w:r>
            <w:r w:rsidRPr="00C379C8" w:rsidR="00EE3A11">
              <w:t xml:space="preserve"> Republic Act (RA) No. 3720, as amended by RA No. 9711, and RA No. 9502 mandate the Philippine FDA to ensure the safety, efficacy, and quality of pharmaceutical products, with "drugs and medicines" defined based on recognized pharmacopeias. Executive Order (EO) No. 302 s. 2004 designates the Philippine Pharmacopeia as the official reference standard for determining the identity, purity, and quality of pharmaceutical products and crude plant drugs, while also allowing the FDA to adopt other recognized standards for products not included therein.</w:t>
            </w:r>
          </w:p>
          <w:p w:rsidR="00EE3A11" w:rsidRPr="00C379C8" w:rsidP="002F6A28" w14:paraId="102F98E3" w14:textId="77777777">
            <w:pPr>
              <w:spacing w:before="120" w:after="120"/>
            </w:pPr>
            <w:r w:rsidRPr="00C379C8">
              <w:t>Consistent with these legal frameworks, Administrative Order (AO) No. 2024-0013 identifies the recognized pharmacopeias to be used in the registration and evaluation of pharmaceutical products and active pharmaceutical ingredients. This Circular further reinforces regulatory strengthening by formally adopting official pharmacopeias, ensuring the quality of registered products and aligning national standards with international best practices.</w:t>
            </w:r>
          </w:p>
        </w:tc>
      </w:tr>
      <w:tr w14:paraId="6457F462" w14:textId="77777777" w:rsidTr="00DB13FE">
        <w:tblPrEx>
          <w:tblW w:w="5000" w:type="pct"/>
          <w:tblLayout w:type="fixed"/>
          <w:tblLook w:val="0000"/>
        </w:tblPrEx>
        <w:tc>
          <w:tcPr>
            <w:tcW w:w="607" w:type="dxa"/>
          </w:tcPr>
          <w:p w:rsidR="00F85C99" w:rsidRPr="002F6A28" w:rsidP="009E75ED" w14:paraId="2AFB0173" w14:textId="77777777">
            <w:pPr>
              <w:spacing w:before="120" w:after="120"/>
              <w:jc w:val="left"/>
              <w:rPr>
                <w:b/>
              </w:rPr>
            </w:pPr>
            <w:r w:rsidRPr="002F6A28">
              <w:rPr>
                <w:b/>
              </w:rPr>
              <w:t>8.</w:t>
            </w:r>
          </w:p>
        </w:tc>
        <w:tc>
          <w:tcPr>
            <w:tcW w:w="8373" w:type="dxa"/>
          </w:tcPr>
          <w:p w:rsidR="000C3B6C" w:rsidRPr="00EC00D2" w:rsidP="007F13E8" w14:paraId="7A735970" w14:textId="77777777">
            <w:pPr>
              <w:spacing w:before="120" w:after="120"/>
              <w:rPr>
                <w:bCs/>
              </w:rPr>
            </w:pPr>
            <w:r w:rsidRPr="002F6A28">
              <w:rPr>
                <w:b/>
              </w:rPr>
              <w:t>Relevant documents:</w:t>
            </w:r>
            <w:r w:rsidRPr="002F6A28" w:rsidR="00EE3A11">
              <w:t xml:space="preserve"> </w:t>
            </w:r>
          </w:p>
          <w:p w:rsidR="00EE3A11" w:rsidRPr="002F6A28" w:rsidP="007F13E8" w14:paraId="363B1486" w14:textId="77777777">
            <w:pPr>
              <w:numPr>
                <w:ilvl w:val="0"/>
                <w:numId w:val="16"/>
              </w:numPr>
              <w:spacing w:before="120" w:after="120"/>
            </w:pPr>
            <w:r w:rsidRPr="002F6A28">
              <w:t>RA No. 3720, as amended by EO No. 175 s. 1987: "Foods, Drugs and Devices, and Cosmetics Act"</w:t>
            </w:r>
          </w:p>
          <w:p w:rsidR="00EE3A11" w:rsidRPr="002F6A28" w:rsidP="007F13E8" w14:paraId="138F35D2" w14:textId="77777777">
            <w:pPr>
              <w:numPr>
                <w:ilvl w:val="0"/>
                <w:numId w:val="16"/>
              </w:numPr>
              <w:spacing w:before="120" w:after="120"/>
            </w:pPr>
            <w:r w:rsidRPr="002F6A28">
              <w:t>RA No. 9711: "Food and Drug Administration (FDA) Act of 2009"</w:t>
            </w:r>
          </w:p>
          <w:p w:rsidR="00EE3A11" w:rsidRPr="002F6A28" w:rsidP="007F13E8" w14:paraId="7810644B" w14:textId="77777777">
            <w:pPr>
              <w:numPr>
                <w:ilvl w:val="0"/>
                <w:numId w:val="16"/>
              </w:numPr>
              <w:spacing w:before="120" w:after="120"/>
            </w:pPr>
            <w:r w:rsidRPr="002F6A28">
              <w:t>RA No. 9502: "Universally Accessible Cheaper and Quality Medicines Act of 2008"</w:t>
            </w:r>
          </w:p>
          <w:p w:rsidR="00EE3A11" w:rsidRPr="002F6A28" w:rsidP="007F13E8" w14:paraId="27E49B7E" w14:textId="77777777">
            <w:pPr>
              <w:numPr>
                <w:ilvl w:val="0"/>
                <w:numId w:val="16"/>
              </w:numPr>
              <w:spacing w:before="120" w:after="120"/>
            </w:pPr>
            <w:r w:rsidRPr="002F6A28">
              <w:t>EO No. 302 s. 2004: "Declaring and Adopting the Philippine Pharmacopeia as the Official Book of Standards and Reference for Pharmaceutical Products and Crude Plant Drugs in the Philippines"</w:t>
            </w:r>
          </w:p>
          <w:p w:rsidR="00EE3A11" w:rsidRPr="002F6A28" w:rsidP="007F13E8" w14:paraId="082DE933" w14:textId="77777777">
            <w:pPr>
              <w:numPr>
                <w:ilvl w:val="0"/>
                <w:numId w:val="16"/>
              </w:numPr>
              <w:spacing w:before="120" w:after="120"/>
            </w:pPr>
            <w:r w:rsidRPr="002F6A28">
              <w:t>AO No. 2024-0013: "General Rules and Regulations on the Registration of Pharmaceutical Products and Active Pharmaceutical Ingredients Intended for Human Use"</w:t>
            </w:r>
          </w:p>
        </w:tc>
      </w:tr>
      <w:tr w14:paraId="31548415" w14:textId="77777777" w:rsidTr="00DB13FE">
        <w:tblPrEx>
          <w:tblW w:w="5000" w:type="pct"/>
          <w:tblLayout w:type="fixed"/>
          <w:tblLook w:val="0000"/>
        </w:tblPrEx>
        <w:tc>
          <w:tcPr>
            <w:tcW w:w="607" w:type="dxa"/>
          </w:tcPr>
          <w:p w:rsidR="00EE3A11" w:rsidRPr="002F6A28" w:rsidP="002F6A28" w14:paraId="1D474FE9" w14:textId="77777777">
            <w:pPr>
              <w:spacing w:before="120" w:after="120"/>
              <w:jc w:val="left"/>
              <w:rPr>
                <w:b/>
              </w:rPr>
            </w:pPr>
            <w:r w:rsidRPr="002F6A28">
              <w:rPr>
                <w:b/>
              </w:rPr>
              <w:t>9.</w:t>
            </w:r>
          </w:p>
        </w:tc>
        <w:tc>
          <w:tcPr>
            <w:tcW w:w="8373" w:type="dxa"/>
          </w:tcPr>
          <w:p w:rsidR="00EE3A11" w:rsidRPr="002F6A28" w:rsidP="008953C4" w14:paraId="53D15E3B" w14:textId="77777777">
            <w:pPr>
              <w:spacing w:before="120" w:after="120"/>
            </w:pPr>
            <w:r w:rsidRPr="002F6A28">
              <w:rPr>
                <w:b/>
              </w:rPr>
              <w:t>Proposed date of adoption:</w:t>
            </w:r>
            <w:r w:rsidRPr="00C379C8">
              <w:t xml:space="preserve"> To be determined</w:t>
            </w:r>
          </w:p>
          <w:p w:rsidR="00EE3A11" w:rsidRPr="002F6A28" w:rsidP="008953C4" w14:paraId="2218ED4E" w14:textId="77777777">
            <w:pPr>
              <w:spacing w:after="120"/>
            </w:pPr>
            <w:r w:rsidRPr="002F6A28">
              <w:rPr>
                <w:b/>
              </w:rPr>
              <w:t>Proposed date of entry into force:</w:t>
            </w:r>
            <w:r w:rsidRPr="00C379C8">
              <w:t xml:space="preserve"> To be determined</w:t>
            </w:r>
          </w:p>
        </w:tc>
      </w:tr>
      <w:tr w14:paraId="12EB449C" w14:textId="77777777" w:rsidTr="00DB13FE">
        <w:tblPrEx>
          <w:tblW w:w="5000" w:type="pct"/>
          <w:tblLayout w:type="fixed"/>
          <w:tblLook w:val="0000"/>
        </w:tblPrEx>
        <w:tc>
          <w:tcPr>
            <w:tcW w:w="607" w:type="dxa"/>
            <w:tcBorders>
              <w:bottom w:val="double" w:sz="4" w:space="0" w:color="auto"/>
            </w:tcBorders>
          </w:tcPr>
          <w:p w:rsidR="00F85C99" w:rsidRPr="002F6A28" w:rsidP="002F6A28" w14:paraId="125BDCB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92E3B9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DB08F55" w14:textId="77777777">
            <w:pPr>
              <w:spacing w:before="120" w:after="120"/>
              <w:rPr>
                <w:bCs/>
              </w:rPr>
            </w:pPr>
            <w:r w:rsidRPr="002F6A28">
              <w:rPr>
                <w:b/>
              </w:rPr>
              <w:t>Final date for comments:</w:t>
            </w:r>
            <w:r w:rsidRPr="00C379C8" w:rsidR="00EE3A11">
              <w:t xml:space="preserve"> 22 May 2026</w:t>
            </w:r>
          </w:p>
          <w:p w:rsidR="000C3B6C" w:rsidRPr="00E3324D" w:rsidP="000C3B6C" w14:paraId="69777F4D"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285B9B7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D69078A" w14:textId="77777777">
            <w:r w:rsidRPr="00CE6C29">
              <w:t>Mr. Neil P. Catajay</w:t>
            </w:r>
          </w:p>
          <w:p w:rsidR="00CE6C29" w:rsidRPr="00CE6C29" w:rsidP="000C3B6C" w14:paraId="21532003" w14:textId="77777777">
            <w:r w:rsidRPr="00CE6C29">
              <w:t>Director</w:t>
            </w:r>
          </w:p>
          <w:p w:rsidR="00CE6C29" w:rsidRPr="00CE6C29" w:rsidP="000C3B6C" w14:paraId="0CFFD5A1" w14:textId="77777777">
            <w:r w:rsidRPr="00CE6C29">
              <w:t>Bureau of Philippine Standards</w:t>
            </w:r>
          </w:p>
          <w:p w:rsidR="00CE6C29" w:rsidRPr="00CE6C29" w:rsidP="000C3B6C" w14:paraId="4DB3405A" w14:textId="77777777">
            <w:r w:rsidRPr="00CE6C29">
              <w:t>Department of Trade and Industry</w:t>
            </w:r>
          </w:p>
          <w:p w:rsidR="00CE6C29" w:rsidRPr="00CE6C29" w:rsidP="000C3B6C" w14:paraId="70B8A5BE" w14:textId="77777777">
            <w:r w:rsidRPr="00CE6C29">
              <w:t>3F Trade and Industry Building</w:t>
            </w:r>
          </w:p>
          <w:p w:rsidR="00CE6C29" w:rsidRPr="00CE6C29" w:rsidP="000C3B6C" w14:paraId="76BB5D2F" w14:textId="77777777">
            <w:r w:rsidRPr="00CE6C29">
              <w:t>361 Sen. Gil Puyat Avenue</w:t>
            </w:r>
          </w:p>
          <w:p w:rsidR="00CE6C29" w:rsidRPr="00CE6C29" w:rsidP="000C3B6C" w14:paraId="0CF2DB53" w14:textId="77777777">
            <w:r w:rsidRPr="00CE6C29">
              <w:t>Makati City</w:t>
            </w:r>
          </w:p>
          <w:p w:rsidR="00CE6C29" w:rsidRPr="00CE6C29" w:rsidP="000C3B6C" w14:paraId="5BD4AD62" w14:textId="77777777">
            <w:r w:rsidRPr="00CE6C29">
              <w:t>Philippines</w:t>
            </w:r>
          </w:p>
          <w:p w:rsidR="00CE6C29" w:rsidRPr="00CE6C29" w:rsidP="000C3B6C" w14:paraId="090C6537" w14:textId="77777777">
            <w:r w:rsidRPr="00CE6C29">
              <w:t>1200</w:t>
            </w:r>
          </w:p>
          <w:p w:rsidR="00CE6C29" w:rsidRPr="00CE6C29" w:rsidP="000C3B6C" w14:paraId="3B93B5F0" w14:textId="77777777">
            <w:r w:rsidRPr="00CE6C29">
              <w:t>Tel: (632) 751 4700; (632) 7913128</w:t>
            </w:r>
          </w:p>
          <w:p w:rsidR="00CE6C29" w:rsidRPr="00CE6C29" w:rsidP="000C3B6C" w14:paraId="2CB7928D" w14:textId="77777777">
            <w:r w:rsidRPr="00CE6C29">
              <w:t xml:space="preserve">Email: </w:t>
            </w:r>
            <w:hyperlink r:id="rId11" w:history="1">
              <w:r w:rsidRPr="00CE6C29">
                <w:rPr>
                  <w:color w:val="0000FF"/>
                  <w:u w:val="single"/>
                </w:rPr>
                <w:t>bps@dti.gov.ph</w:t>
              </w:r>
            </w:hyperlink>
          </w:p>
          <w:p w:rsidR="00CE6C29" w:rsidRPr="00CE6C29" w:rsidP="000C3B6C" w14:paraId="197E0750" w14:textId="77777777">
            <w:pPr>
              <w:spacing w:after="120"/>
            </w:pPr>
            <w:r w:rsidRPr="00CE6C29">
              <w:t xml:space="preserve">Website: </w:t>
            </w:r>
            <w:hyperlink r:id="rId12" w:tgtFrame="_blank" w:history="1">
              <w:r w:rsidRPr="00CE6C29">
                <w:rPr>
                  <w:color w:val="0000FF"/>
                  <w:u w:val="single"/>
                </w:rPr>
                <w:t>http://www.bps.dti.gov.ph</w:t>
              </w:r>
            </w:hyperlink>
          </w:p>
        </w:tc>
      </w:tr>
    </w:tbl>
    <w:p w:rsidR="00EE3A11" w:rsidRPr="002F6A28" w:rsidP="00887259" w14:paraId="66B3BF27"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F62E1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4FA18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1681B1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76B4DF" w14:textId="77777777">
    <w:pPr>
      <w:pStyle w:val="Header"/>
      <w:pBdr>
        <w:bottom w:val="single" w:sz="4" w:space="1" w:color="auto"/>
      </w:pBdr>
      <w:tabs>
        <w:tab w:val="clear" w:pos="4513"/>
        <w:tab w:val="clear" w:pos="9027"/>
      </w:tabs>
      <w:jc w:val="center"/>
    </w:pPr>
    <w:r w:rsidRPr="002F6A28">
      <w:t>tbtSymbol</w:t>
    </w:r>
  </w:p>
  <w:p w:rsidR="009239F7" w:rsidRPr="002F6A28" w:rsidP="009239F7" w14:paraId="4905A52E" w14:textId="77777777">
    <w:pPr>
      <w:pStyle w:val="Header"/>
      <w:pBdr>
        <w:bottom w:val="single" w:sz="4" w:space="1" w:color="auto"/>
      </w:pBdr>
      <w:tabs>
        <w:tab w:val="clear" w:pos="4513"/>
        <w:tab w:val="clear" w:pos="9027"/>
      </w:tabs>
      <w:jc w:val="center"/>
    </w:pPr>
  </w:p>
  <w:p w:rsidR="009239F7" w:rsidRPr="002F6A28" w:rsidP="009239F7" w14:paraId="789EAB3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A1ACD6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59A5AB" w14:textId="77777777">
    <w:pPr>
      <w:pStyle w:val="Header"/>
      <w:pBdr>
        <w:bottom w:val="single" w:sz="4" w:space="1" w:color="auto"/>
      </w:pBdr>
      <w:tabs>
        <w:tab w:val="clear" w:pos="4513"/>
        <w:tab w:val="clear" w:pos="9027"/>
      </w:tabs>
      <w:jc w:val="center"/>
    </w:pPr>
    <w:bookmarkStart w:id="0" w:name="spsSymbolHeader"/>
    <w:r w:rsidRPr="002F6A28">
      <w:t>G/TBT/N/PHL/367</w:t>
    </w:r>
    <w:bookmarkEnd w:id="0"/>
  </w:p>
  <w:p w:rsidR="009239F7" w:rsidRPr="002F6A28" w:rsidP="009239F7" w14:paraId="6235705A" w14:textId="77777777">
    <w:pPr>
      <w:pStyle w:val="Header"/>
      <w:pBdr>
        <w:bottom w:val="single" w:sz="4" w:space="1" w:color="auto"/>
      </w:pBdr>
      <w:tabs>
        <w:tab w:val="clear" w:pos="4513"/>
        <w:tab w:val="clear" w:pos="9027"/>
      </w:tabs>
      <w:jc w:val="center"/>
    </w:pPr>
  </w:p>
  <w:p w:rsidR="009239F7" w:rsidRPr="002F6A28" w:rsidP="009239F7" w14:paraId="372427B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114EE2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C2A8D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1CB51A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008D43C" w14:textId="77777777">
          <w:pPr>
            <w:jc w:val="right"/>
            <w:rPr>
              <w:b/>
              <w:color w:val="FF0000"/>
              <w:szCs w:val="16"/>
            </w:rPr>
          </w:pPr>
        </w:p>
      </w:tc>
    </w:tr>
    <w:bookmarkEnd w:id="1"/>
    <w:tr w14:paraId="27E05C8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FD3E59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F1AF2C5" w14:textId="77777777">
          <w:pPr>
            <w:jc w:val="right"/>
            <w:rPr>
              <w:b/>
              <w:szCs w:val="16"/>
            </w:rPr>
          </w:pPr>
        </w:p>
      </w:tc>
    </w:tr>
    <w:tr w14:paraId="00A3CE5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549EB7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FDB71A6" w14:textId="77777777">
          <w:pPr>
            <w:jc w:val="right"/>
            <w:rPr>
              <w:b/>
              <w:szCs w:val="16"/>
            </w:rPr>
          </w:pPr>
          <w:bookmarkStart w:id="2" w:name="bmkSymbols"/>
          <w:r w:rsidRPr="002F6A28">
            <w:rPr>
              <w:b/>
              <w:szCs w:val="16"/>
            </w:rPr>
            <w:t>G/TBT/N/PHL/367</w:t>
          </w:r>
          <w:bookmarkEnd w:id="2"/>
        </w:p>
      </w:tc>
    </w:tr>
    <w:tr w14:paraId="6912264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72F9BB3" w14:textId="77777777"/>
      </w:tc>
      <w:tc>
        <w:tcPr>
          <w:tcW w:w="5448" w:type="dxa"/>
          <w:gridSpan w:val="2"/>
          <w:shd w:val="clear" w:color="auto" w:fill="FFFFFF"/>
          <w:tcMar>
            <w:left w:w="108" w:type="dxa"/>
            <w:right w:w="108" w:type="dxa"/>
          </w:tcMar>
          <w:vAlign w:val="center"/>
        </w:tcPr>
        <w:p w:rsidR="00ED54E0" w:rsidRPr="009239F7" w:rsidP="00B801E9" w14:paraId="6874EF6D" w14:textId="77777777">
          <w:pPr>
            <w:jc w:val="right"/>
            <w:rPr>
              <w:szCs w:val="16"/>
            </w:rPr>
          </w:pPr>
          <w:bookmarkStart w:id="3" w:name="spsDateDistribution"/>
          <w:bookmarkStart w:id="4" w:name="bmkDate"/>
          <w:r w:rsidRPr="009239F7">
            <w:rPr>
              <w:szCs w:val="16"/>
            </w:rPr>
            <w:t>18 May 2026</w:t>
          </w:r>
          <w:bookmarkEnd w:id="3"/>
          <w:bookmarkEnd w:id="4"/>
        </w:p>
      </w:tc>
    </w:tr>
    <w:tr w14:paraId="6ABF7BF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853C670" w14:textId="77777777">
          <w:pPr>
            <w:jc w:val="left"/>
            <w:rPr>
              <w:b/>
            </w:rPr>
          </w:pPr>
          <w:bookmarkStart w:id="5" w:name="bmkSerial"/>
          <w:r>
            <w:rPr>
              <w:rFonts w:ascii="Verdana" w:eastAsia="Verdana" w:hAnsi="Verdana" w:cs="Verdana"/>
              <w:b w:val="0"/>
              <w:color w:val="FF0000"/>
              <w:sz w:val="18"/>
            </w:rPr>
            <w:t>(26-3659)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0F0A38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2229DD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F02A1F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30C83A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50E1F9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98501336">
    <w:abstractNumId w:val="9"/>
  </w:num>
  <w:num w:numId="2" w16cid:durableId="1034769704">
    <w:abstractNumId w:val="7"/>
  </w:num>
  <w:num w:numId="3" w16cid:durableId="1589725706">
    <w:abstractNumId w:val="6"/>
  </w:num>
  <w:num w:numId="4" w16cid:durableId="1177110641">
    <w:abstractNumId w:val="5"/>
  </w:num>
  <w:num w:numId="5" w16cid:durableId="124590821">
    <w:abstractNumId w:val="4"/>
  </w:num>
  <w:num w:numId="6" w16cid:durableId="1388606585">
    <w:abstractNumId w:val="12"/>
  </w:num>
  <w:num w:numId="7" w16cid:durableId="1919055731">
    <w:abstractNumId w:val="11"/>
  </w:num>
  <w:num w:numId="8" w16cid:durableId="1298101931">
    <w:abstractNumId w:val="10"/>
  </w:num>
  <w:num w:numId="9" w16cid:durableId="5709686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9784540">
    <w:abstractNumId w:val="13"/>
  </w:num>
  <w:num w:numId="11" w16cid:durableId="1772581013">
    <w:abstractNumId w:val="8"/>
  </w:num>
  <w:num w:numId="12" w16cid:durableId="887763340">
    <w:abstractNumId w:val="3"/>
  </w:num>
  <w:num w:numId="13" w16cid:durableId="1278416196">
    <w:abstractNumId w:val="2"/>
  </w:num>
  <w:num w:numId="14" w16cid:durableId="1354385494">
    <w:abstractNumId w:val="1"/>
  </w:num>
  <w:num w:numId="15" w16cid:durableId="354500653">
    <w:abstractNumId w:val="0"/>
  </w:num>
  <w:num w:numId="16" w16cid:durableId="12586334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0EC"/>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56485"/>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2A06"/>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444F6"/>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DE372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drr.sds@fda.gov.ph" TargetMode="External" /><Relationship Id="rId11" Type="http://schemas.openxmlformats.org/officeDocument/2006/relationships/hyperlink" Target="mailto:bps@dti.gov.ph" TargetMode="External" /><Relationship Id="rId12" Type="http://schemas.openxmlformats.org/officeDocument/2006/relationships/hyperlink" Target="http://www.bps.dti.gov.ph"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PHL/26_02604_00_e.pdf" TargetMode="External" /><Relationship Id="rId7" Type="http://schemas.openxmlformats.org/officeDocument/2006/relationships/hyperlink" Target="https://www.fda.gov.ph/draft-for-comments-recognition-and-adoption-of-official-pharmacopeias-for-the-registration-of-pharmaceutical-products-and-active-pharmaceutical-ingredients-for-human-use/" TargetMode="External" /><Relationship Id="rId8" Type="http://schemas.openxmlformats.org/officeDocument/2006/relationships/hyperlink" Target="mailto:cdrr.od@fda.gov.ph" TargetMode="External" /><Relationship Id="rId9" Type="http://schemas.openxmlformats.org/officeDocument/2006/relationships/hyperlink" Target="mailto:cdrr@fda.gov.p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109A47F-B207-4891-8752-821C465AD3C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2026-05-18T09:37:00Z</dcterms:created>
  <dcterms:modified xsi:type="dcterms:W3CDTF">2026-05-18T09:37:00Z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