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CB6886" w14:textId="77777777">
      <w:pPr>
        <w:pStyle w:val="Title"/>
        <w:rPr>
          <w:caps w:val="0"/>
          <w:kern w:val="0"/>
        </w:rPr>
      </w:pPr>
      <w:r w:rsidRPr="002F6A28">
        <w:rPr>
          <w:caps w:val="0"/>
          <w:kern w:val="0"/>
        </w:rPr>
        <w:t>NOTIFICATION</w:t>
      </w:r>
    </w:p>
    <w:p w:rsidR="009239F7" w:rsidRPr="002F6A28" w:rsidP="002F6A28" w14:paraId="1775C8F4" w14:textId="77777777">
      <w:pPr>
        <w:jc w:val="center"/>
      </w:pPr>
      <w:r w:rsidRPr="002F6A28">
        <w:t>The following notification is being circulated in accordance with Article 10.6</w:t>
      </w:r>
    </w:p>
    <w:p w:rsidR="009239F7" w:rsidRPr="002F6A28" w:rsidP="002F6A28" w14:paraId="1CAAFE4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3AABC7C" w14:textId="77777777" w:rsidTr="00DB13FE">
        <w:tblPrEx>
          <w:tblW w:w="5000" w:type="pct"/>
          <w:tblLayout w:type="fixed"/>
          <w:tblLook w:val="0000"/>
        </w:tblPrEx>
        <w:tc>
          <w:tcPr>
            <w:tcW w:w="607" w:type="dxa"/>
            <w:tcBorders>
              <w:top w:val="double" w:sz="4" w:space="0" w:color="auto"/>
            </w:tcBorders>
          </w:tcPr>
          <w:p w:rsidR="00F85C99" w:rsidRPr="002F6A28" w:rsidP="002F6A28" w14:paraId="66E8AD4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74C2FF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0D9194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8BDEE9" w14:textId="77777777" w:rsidTr="00DB13FE">
        <w:tblPrEx>
          <w:tblW w:w="5000" w:type="pct"/>
          <w:tblLayout w:type="fixed"/>
          <w:tblLook w:val="0000"/>
        </w:tblPrEx>
        <w:tc>
          <w:tcPr>
            <w:tcW w:w="607" w:type="dxa"/>
          </w:tcPr>
          <w:p w:rsidR="00F85C99" w:rsidRPr="002F6A28" w:rsidP="002F6A28" w14:paraId="780DD422" w14:textId="77777777">
            <w:pPr>
              <w:spacing w:before="120" w:after="120"/>
              <w:jc w:val="left"/>
            </w:pPr>
            <w:r w:rsidRPr="002F6A28">
              <w:rPr>
                <w:b/>
              </w:rPr>
              <w:t>2.</w:t>
            </w:r>
          </w:p>
        </w:tc>
        <w:tc>
          <w:tcPr>
            <w:tcW w:w="8373" w:type="dxa"/>
          </w:tcPr>
          <w:p w:rsidR="00F85C99" w:rsidRPr="002F6A28" w:rsidP="000C3B6C" w14:paraId="45901C8E" w14:textId="77777777">
            <w:pPr>
              <w:spacing w:before="120" w:after="120"/>
            </w:pPr>
            <w:r w:rsidRPr="002F6A28">
              <w:rPr>
                <w:b/>
              </w:rPr>
              <w:t>Agency responsible:</w:t>
            </w:r>
            <w:r w:rsidRPr="00C379C8" w:rsidR="00EE3A11">
              <w:t xml:space="preserve"> </w:t>
            </w:r>
          </w:p>
          <w:p w:rsidR="00EE3A11" w:rsidRPr="00C379C8" w:rsidP="000C3B6C" w14:paraId="44A44555" w14:textId="77777777">
            <w:r w:rsidRPr="00C379C8">
              <w:t>European Commission</w:t>
            </w:r>
          </w:p>
          <w:p w:rsidR="00EE3A11" w:rsidRPr="00C379C8" w:rsidP="000C3B6C" w14:paraId="6D04AE3C" w14:textId="77777777">
            <w:r w:rsidRPr="00C379C8">
              <w:t>EU-TBT Enquiry Point,</w:t>
            </w:r>
          </w:p>
          <w:p w:rsidR="00EE3A11" w:rsidRPr="00C379C8" w:rsidP="000C3B6C" w14:paraId="679D2443" w14:textId="77777777">
            <w:r w:rsidRPr="00C379C8">
              <w:t>Fax: +(32) 2 299 80 43,</w:t>
            </w:r>
          </w:p>
          <w:p w:rsidR="00EE3A11" w:rsidRPr="00C379C8" w:rsidP="000C3B6C" w14:paraId="128510E9" w14:textId="77777777">
            <w:r w:rsidRPr="00C379C8">
              <w:t xml:space="preserve">E-mail: </w:t>
            </w:r>
            <w:hyperlink r:id="rId6" w:history="1">
              <w:r w:rsidRPr="00C379C8">
                <w:rPr>
                  <w:color w:val="0000FF"/>
                  <w:u w:val="single"/>
                </w:rPr>
                <w:t>grow-eu-tbt@ec.europa.eu</w:t>
              </w:r>
            </w:hyperlink>
          </w:p>
          <w:p w:rsidR="00EE3A11" w:rsidRPr="00C379C8" w:rsidP="000C3B6C" w14:paraId="15E663B5"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59CDBEB7" w14:textId="77777777" w:rsidTr="00DB13FE">
        <w:tblPrEx>
          <w:tblW w:w="5000" w:type="pct"/>
          <w:tblLayout w:type="fixed"/>
          <w:tblLook w:val="0000"/>
        </w:tblPrEx>
        <w:tc>
          <w:tcPr>
            <w:tcW w:w="607" w:type="dxa"/>
          </w:tcPr>
          <w:p w:rsidR="00F85C99" w:rsidRPr="002F6A28" w:rsidP="002F6A28" w14:paraId="0AF3676A" w14:textId="77777777">
            <w:pPr>
              <w:spacing w:before="120" w:after="120"/>
              <w:jc w:val="left"/>
              <w:rPr>
                <w:b/>
              </w:rPr>
            </w:pPr>
            <w:r w:rsidRPr="002F6A28">
              <w:rPr>
                <w:b/>
              </w:rPr>
              <w:t>3.</w:t>
            </w:r>
          </w:p>
        </w:tc>
        <w:tc>
          <w:tcPr>
            <w:tcW w:w="8373" w:type="dxa"/>
          </w:tcPr>
          <w:p w:rsidR="00F85C99" w:rsidRPr="0058336F" w:rsidP="002F6A28" w14:paraId="36D30E0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CFE2A4" w14:textId="77777777" w:rsidTr="00DB13FE">
        <w:tblPrEx>
          <w:tblW w:w="5000" w:type="pct"/>
          <w:tblLayout w:type="fixed"/>
          <w:tblLook w:val="0000"/>
        </w:tblPrEx>
        <w:tc>
          <w:tcPr>
            <w:tcW w:w="607" w:type="dxa"/>
          </w:tcPr>
          <w:p w:rsidR="00F85C99" w:rsidRPr="002F6A28" w:rsidP="002F6A28" w14:paraId="451A57B5" w14:textId="77777777">
            <w:pPr>
              <w:spacing w:before="120" w:after="120"/>
              <w:jc w:val="left"/>
            </w:pPr>
            <w:r w:rsidRPr="002F6A28">
              <w:rPr>
                <w:b/>
              </w:rPr>
              <w:t>4.</w:t>
            </w:r>
          </w:p>
        </w:tc>
        <w:tc>
          <w:tcPr>
            <w:tcW w:w="8373" w:type="dxa"/>
          </w:tcPr>
          <w:p w:rsidR="00F85C99" w:rsidRPr="002F6A28" w:rsidP="002F6A28" w14:paraId="1EA3A3C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1509, Olive oil and its fractions, whether or not refined, but not chemically modified</w:t>
            </w:r>
          </w:p>
        </w:tc>
      </w:tr>
      <w:tr w14:paraId="14F677E6" w14:textId="77777777" w:rsidTr="00DB13FE">
        <w:tblPrEx>
          <w:tblW w:w="5000" w:type="pct"/>
          <w:tblLayout w:type="fixed"/>
          <w:tblLook w:val="0000"/>
        </w:tblPrEx>
        <w:tc>
          <w:tcPr>
            <w:tcW w:w="607" w:type="dxa"/>
          </w:tcPr>
          <w:p w:rsidR="00F85C99" w:rsidRPr="002F6A28" w:rsidP="002F6A28" w14:paraId="70366805" w14:textId="77777777">
            <w:pPr>
              <w:spacing w:before="120" w:after="120"/>
              <w:jc w:val="left"/>
            </w:pPr>
            <w:r w:rsidRPr="002F6A28">
              <w:rPr>
                <w:b/>
              </w:rPr>
              <w:t>5.</w:t>
            </w:r>
          </w:p>
        </w:tc>
        <w:tc>
          <w:tcPr>
            <w:tcW w:w="8373" w:type="dxa"/>
          </w:tcPr>
          <w:p w:rsidR="00F85C99" w:rsidP="002F6A28" w14:paraId="72417BB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Regulation (EU) amending Implementing Regulation (EU) 2022/2105 as regards conformity checks of certain monovarietal extra virgin olive oils; (3 page(s), in English)</w:t>
            </w:r>
          </w:p>
          <w:p w:rsidR="000C3B6C" w:rsidRPr="000C3B6C" w:rsidP="002F6A28" w14:paraId="55348EC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02BA9" w:rsidRPr="00CE6C29" w:rsidP="002F6A28" w14:paraId="5C5613AD"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https://members.wto.org/crnattachments/2026/TBT/EEC/26_02587_00_e.pdf</w:t>
              </w:r>
            </w:hyperlink>
          </w:p>
          <w:p w:rsidR="00F02BA9" w:rsidRPr="00CE6C29" w:rsidP="002F6A28" w14:paraId="6D3DB434" w14:textId="77777777">
            <w:pPr>
              <w:rPr>
                <w:iCs/>
              </w:rPr>
            </w:pPr>
            <w:r w:rsidRPr="00CE6C29">
              <w:rPr>
                <w:iCs/>
              </w:rPr>
              <w:t>European Commission</w:t>
            </w:r>
          </w:p>
          <w:p w:rsidR="00F02BA9" w:rsidRPr="00CE6C29" w:rsidP="002F6A28" w14:paraId="73371F5B" w14:textId="77777777">
            <w:pPr>
              <w:rPr>
                <w:iCs/>
              </w:rPr>
            </w:pPr>
            <w:r w:rsidRPr="00CE6C29">
              <w:rPr>
                <w:iCs/>
              </w:rPr>
              <w:t>EU-TBT Enquiry Point</w:t>
            </w:r>
          </w:p>
          <w:p w:rsidR="00F02BA9" w:rsidRPr="00CE6C29" w:rsidP="002F6A28" w14:paraId="24BAD8A0" w14:textId="77777777">
            <w:pPr>
              <w:rPr>
                <w:iCs/>
              </w:rPr>
            </w:pPr>
            <w:r w:rsidRPr="00CE6C29">
              <w:rPr>
                <w:iCs/>
              </w:rPr>
              <w:t>Fax: + (32) 2 299 80 43</w:t>
            </w:r>
          </w:p>
          <w:p w:rsidR="00F02BA9" w:rsidRPr="00CE6C29" w:rsidP="002F6A28" w14:paraId="2F1541A0" w14:textId="77777777">
            <w:pPr>
              <w:rPr>
                <w:iCs/>
              </w:rPr>
            </w:pPr>
            <w:r w:rsidRPr="00CE6C29">
              <w:rPr>
                <w:iCs/>
              </w:rPr>
              <w:t xml:space="preserve">E-mail: </w:t>
            </w:r>
            <w:hyperlink r:id="rId6" w:history="1">
              <w:r w:rsidRPr="00CE6C29">
                <w:rPr>
                  <w:iCs/>
                  <w:color w:val="0000FF"/>
                  <w:u w:val="single"/>
                </w:rPr>
                <w:t>grow-eu-tbt@ec.europa.eu</w:t>
              </w:r>
            </w:hyperlink>
          </w:p>
          <w:p w:rsidR="00F02BA9" w:rsidRPr="00CE6C29" w:rsidP="002F6A28" w14:paraId="5D83663F"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699E9B95" w14:textId="77777777" w:rsidTr="00DB13FE">
        <w:tblPrEx>
          <w:tblW w:w="5000" w:type="pct"/>
          <w:tblLayout w:type="fixed"/>
          <w:tblLook w:val="0000"/>
        </w:tblPrEx>
        <w:tc>
          <w:tcPr>
            <w:tcW w:w="607" w:type="dxa"/>
          </w:tcPr>
          <w:p w:rsidR="00F85C99" w:rsidRPr="002F6A28" w:rsidP="002F6A28" w14:paraId="4E627371" w14:textId="77777777">
            <w:pPr>
              <w:spacing w:before="120" w:after="120"/>
              <w:jc w:val="left"/>
              <w:rPr>
                <w:b/>
              </w:rPr>
            </w:pPr>
            <w:r w:rsidRPr="002F6A28">
              <w:rPr>
                <w:b/>
              </w:rPr>
              <w:t>6.</w:t>
            </w:r>
          </w:p>
        </w:tc>
        <w:tc>
          <w:tcPr>
            <w:tcW w:w="8373" w:type="dxa"/>
          </w:tcPr>
          <w:p w:rsidR="00F85C99" w:rsidRPr="002F6A28" w:rsidP="002F6A28" w14:paraId="31F39B6E" w14:textId="77777777">
            <w:pPr>
              <w:spacing w:before="120" w:after="120"/>
              <w:rPr>
                <w:b/>
              </w:rPr>
            </w:pPr>
            <w:r w:rsidRPr="002F6A28">
              <w:rPr>
                <w:b/>
              </w:rPr>
              <w:t>Description of content:</w:t>
            </w:r>
            <w:r w:rsidRPr="00C379C8" w:rsidR="00FE448B">
              <w:t xml:space="preserve"> This amendment will enable the carrying out of conformity checks for extra virgin olive oil made solely from one of the Koroneiki or Nocella del Belice varieties. It introduces an obligation for Member States to carry out conformity checks and for operators to keep records related to those varieties.</w:t>
            </w:r>
          </w:p>
        </w:tc>
      </w:tr>
      <w:tr w14:paraId="325312AA" w14:textId="77777777" w:rsidTr="00DB13FE">
        <w:tblPrEx>
          <w:tblW w:w="5000" w:type="pct"/>
          <w:tblLayout w:type="fixed"/>
          <w:tblLook w:val="0000"/>
        </w:tblPrEx>
        <w:tc>
          <w:tcPr>
            <w:tcW w:w="607" w:type="dxa"/>
          </w:tcPr>
          <w:p w:rsidR="00F85C99" w:rsidRPr="002F6A28" w:rsidP="002F6A28" w14:paraId="04C38E0E" w14:textId="77777777">
            <w:pPr>
              <w:spacing w:before="120" w:after="120"/>
              <w:jc w:val="left"/>
              <w:rPr>
                <w:b/>
              </w:rPr>
            </w:pPr>
            <w:r w:rsidRPr="002F6A28">
              <w:rPr>
                <w:b/>
              </w:rPr>
              <w:t>7.</w:t>
            </w:r>
          </w:p>
        </w:tc>
        <w:tc>
          <w:tcPr>
            <w:tcW w:w="8373" w:type="dxa"/>
          </w:tcPr>
          <w:p w:rsidR="00F85C99" w:rsidRPr="002F6A28" w:rsidP="002F6A28" w14:paraId="5D2D6A47" w14:textId="77777777">
            <w:pPr>
              <w:spacing w:before="120" w:after="120"/>
              <w:rPr>
                <w:b/>
              </w:rPr>
            </w:pPr>
            <w:r w:rsidRPr="002F6A28">
              <w:rPr>
                <w:b/>
              </w:rPr>
              <w:t>Objective and rationale, including the nature of urgent problems where applicable:</w:t>
            </w:r>
            <w:r w:rsidRPr="00C379C8" w:rsidR="00EE3A11">
              <w:t xml:space="preserve"> The amendment is needed to implement the new provisions on olive oil marketing standards included in the amendment of Regulation (EU) 2022/2104.; Quality requirements</w:t>
            </w:r>
          </w:p>
        </w:tc>
      </w:tr>
      <w:tr w14:paraId="67EF1A14" w14:textId="77777777" w:rsidTr="00DB13FE">
        <w:tblPrEx>
          <w:tblW w:w="5000" w:type="pct"/>
          <w:tblLayout w:type="fixed"/>
          <w:tblLook w:val="0000"/>
        </w:tblPrEx>
        <w:tc>
          <w:tcPr>
            <w:tcW w:w="607" w:type="dxa"/>
          </w:tcPr>
          <w:p w:rsidR="00F85C99" w:rsidRPr="002F6A28" w:rsidP="009E75ED" w14:paraId="37FFDAAD" w14:textId="77777777">
            <w:pPr>
              <w:spacing w:before="120" w:after="120"/>
              <w:jc w:val="left"/>
              <w:rPr>
                <w:b/>
              </w:rPr>
            </w:pPr>
            <w:r w:rsidRPr="002F6A28">
              <w:rPr>
                <w:b/>
              </w:rPr>
              <w:t>8.</w:t>
            </w:r>
          </w:p>
        </w:tc>
        <w:tc>
          <w:tcPr>
            <w:tcW w:w="8373" w:type="dxa"/>
          </w:tcPr>
          <w:p w:rsidR="000C3B6C" w:rsidRPr="00EC00D2" w:rsidP="007F13E8" w14:paraId="6D74ED4C" w14:textId="77777777">
            <w:pPr>
              <w:spacing w:before="120" w:after="120"/>
              <w:rPr>
                <w:bCs/>
              </w:rPr>
            </w:pPr>
            <w:r w:rsidRPr="002F6A28">
              <w:rPr>
                <w:b/>
              </w:rPr>
              <w:t>Relevant documents:</w:t>
            </w:r>
            <w:r w:rsidRPr="002F6A28" w:rsidR="00EE3A11">
              <w:t xml:space="preserve"> </w:t>
            </w:r>
          </w:p>
          <w:p w:rsidR="00EE3A11" w:rsidRPr="002F6A28" w:rsidP="007F13E8" w14:paraId="39C05D45" w14:textId="77777777">
            <w:pPr>
              <w:spacing w:before="120" w:after="120"/>
            </w:pPr>
            <w:r w:rsidRPr="002F6A28">
              <w:t>Commission Implementing Regulation (EU) 2022/2105 of 29 July 2022 laying down rules on conformity checks of marketing standards for olive oil and methods of analysis of the characteristics of olive oil</w:t>
            </w:r>
          </w:p>
          <w:p w:rsidR="00EE3A11" w:rsidRPr="002F6A28" w:rsidP="007F13E8" w14:paraId="23C6DFD5" w14:textId="77777777">
            <w:pPr>
              <w:spacing w:before="120" w:after="120"/>
            </w:pPr>
            <w:r w:rsidRPr="002F6A28">
              <w:t>OJ L 284, 4.11.2022, p. 23–48</w:t>
            </w:r>
          </w:p>
          <w:p w:rsidR="00EE3A11" w:rsidRPr="002F6A28" w:rsidP="007F13E8" w14:paraId="1F85B7F6" w14:textId="77777777">
            <w:pPr>
              <w:spacing w:before="120" w:after="120"/>
            </w:pPr>
            <w:r w:rsidRPr="002F6A28">
              <w:t xml:space="preserve">ELI: </w:t>
            </w:r>
            <w:hyperlink r:id="rId9" w:history="1">
              <w:r w:rsidRPr="002F6A28">
                <w:rPr>
                  <w:color w:val="0000FF"/>
                  <w:u w:val="single"/>
                </w:rPr>
                <w:t>http://data.europa.eu/eli/reg_impl/2022/2105/2022-11-04</w:t>
              </w:r>
            </w:hyperlink>
          </w:p>
        </w:tc>
      </w:tr>
      <w:tr w14:paraId="3AA0BA27" w14:textId="77777777" w:rsidTr="00DB13FE">
        <w:tblPrEx>
          <w:tblW w:w="5000" w:type="pct"/>
          <w:tblLayout w:type="fixed"/>
          <w:tblLook w:val="0000"/>
        </w:tblPrEx>
        <w:tc>
          <w:tcPr>
            <w:tcW w:w="607" w:type="dxa"/>
          </w:tcPr>
          <w:p w:rsidR="00EE3A11" w:rsidRPr="002F6A28" w:rsidP="002F6A28" w14:paraId="5AC85691" w14:textId="77777777">
            <w:pPr>
              <w:spacing w:before="120" w:after="120"/>
              <w:jc w:val="left"/>
              <w:rPr>
                <w:b/>
              </w:rPr>
            </w:pPr>
            <w:r w:rsidRPr="002F6A28">
              <w:rPr>
                <w:b/>
              </w:rPr>
              <w:t>9.</w:t>
            </w:r>
          </w:p>
        </w:tc>
        <w:tc>
          <w:tcPr>
            <w:tcW w:w="8373" w:type="dxa"/>
          </w:tcPr>
          <w:p w:rsidR="00EE3A11" w:rsidRPr="002F6A28" w:rsidP="008953C4" w14:paraId="52ADE8B1" w14:textId="77777777">
            <w:pPr>
              <w:spacing w:before="120" w:after="120"/>
            </w:pPr>
            <w:r w:rsidRPr="002F6A28">
              <w:rPr>
                <w:b/>
              </w:rPr>
              <w:t>Proposed date of adoption:</w:t>
            </w:r>
            <w:r w:rsidRPr="00C379C8">
              <w:t xml:space="preserve"> September 2026</w:t>
            </w:r>
          </w:p>
          <w:p w:rsidR="00EE3A11" w:rsidRPr="002F6A28" w:rsidP="008953C4" w14:paraId="74C4BD57" w14:textId="77777777">
            <w:pPr>
              <w:spacing w:after="120"/>
            </w:pPr>
            <w:r w:rsidRPr="002F6A28">
              <w:rPr>
                <w:b/>
              </w:rPr>
              <w:t>Proposed date of entry into force:</w:t>
            </w:r>
            <w:r w:rsidRPr="00C379C8">
              <w:t xml:space="preserve"> The twentieth day following that of its publication in the Official Journal of the EU</w:t>
            </w:r>
          </w:p>
        </w:tc>
      </w:tr>
      <w:tr w14:paraId="3BB2FDD1" w14:textId="77777777" w:rsidTr="00DB13FE">
        <w:tblPrEx>
          <w:tblW w:w="5000" w:type="pct"/>
          <w:tblLayout w:type="fixed"/>
          <w:tblLook w:val="0000"/>
        </w:tblPrEx>
        <w:tc>
          <w:tcPr>
            <w:tcW w:w="607" w:type="dxa"/>
            <w:tcBorders>
              <w:bottom w:val="double" w:sz="4" w:space="0" w:color="auto"/>
            </w:tcBorders>
          </w:tcPr>
          <w:p w:rsidR="00F85C99" w:rsidRPr="002F6A28" w:rsidP="002F6A28" w14:paraId="4312344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6C2D8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1C8F68" w14:textId="77777777">
            <w:pPr>
              <w:spacing w:before="120" w:after="120"/>
              <w:rPr>
                <w:bCs/>
              </w:rPr>
            </w:pPr>
            <w:r w:rsidRPr="002F6A28">
              <w:rPr>
                <w:b/>
              </w:rPr>
              <w:t>Final date for comments:</w:t>
            </w:r>
            <w:r w:rsidRPr="00C379C8" w:rsidR="00EE3A11">
              <w:t xml:space="preserve"> 17 July 2026</w:t>
            </w:r>
          </w:p>
          <w:p w:rsidR="000C3B6C" w:rsidRPr="00E3324D" w:rsidP="000C3B6C" w14:paraId="5BB6550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CE9F6D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AF8081" w14:textId="77777777">
            <w:r w:rsidRPr="00CE6C29">
              <w:t>European Commission,</w:t>
            </w:r>
          </w:p>
          <w:p w:rsidR="00CE6C29" w:rsidRPr="00CE6C29" w:rsidP="000C3B6C" w14:paraId="05E1AC02" w14:textId="77777777">
            <w:r w:rsidRPr="00CE6C29">
              <w:t>EU-TBT Enquiry Point,</w:t>
            </w:r>
          </w:p>
          <w:p w:rsidR="00CE6C29" w:rsidRPr="00CE6C29" w:rsidP="000C3B6C" w14:paraId="3D9085B8" w14:textId="77777777">
            <w:r w:rsidRPr="00CE6C29">
              <w:t>Fax: + (32) 2 299 80 43,</w:t>
            </w:r>
          </w:p>
          <w:p w:rsidR="00CE6C29" w:rsidRPr="00CE6C29" w:rsidP="000C3B6C" w14:paraId="6C66B823"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5CC0125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21A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4F4F9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B579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5FE502" w14:textId="77777777">
    <w:pPr>
      <w:pStyle w:val="Header"/>
      <w:pBdr>
        <w:bottom w:val="single" w:sz="4" w:space="1" w:color="auto"/>
      </w:pBdr>
      <w:tabs>
        <w:tab w:val="clear" w:pos="4513"/>
        <w:tab w:val="clear" w:pos="9027"/>
      </w:tabs>
      <w:jc w:val="center"/>
    </w:pPr>
    <w:r w:rsidRPr="002F6A28">
      <w:t>tbtSymbol</w:t>
    </w:r>
  </w:p>
  <w:p w:rsidR="009239F7" w:rsidRPr="002F6A28" w:rsidP="009239F7" w14:paraId="3CE138B2" w14:textId="77777777">
    <w:pPr>
      <w:pStyle w:val="Header"/>
      <w:pBdr>
        <w:bottom w:val="single" w:sz="4" w:space="1" w:color="auto"/>
      </w:pBdr>
      <w:tabs>
        <w:tab w:val="clear" w:pos="4513"/>
        <w:tab w:val="clear" w:pos="9027"/>
      </w:tabs>
      <w:jc w:val="center"/>
    </w:pPr>
  </w:p>
  <w:p w:rsidR="009239F7" w:rsidRPr="002F6A28" w:rsidP="009239F7" w14:paraId="2748DC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144EF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4D870D" w14:textId="77777777">
    <w:pPr>
      <w:pStyle w:val="Header"/>
      <w:pBdr>
        <w:bottom w:val="single" w:sz="4" w:space="1" w:color="auto"/>
      </w:pBdr>
      <w:tabs>
        <w:tab w:val="clear" w:pos="4513"/>
        <w:tab w:val="clear" w:pos="9027"/>
      </w:tabs>
      <w:jc w:val="center"/>
    </w:pPr>
    <w:bookmarkStart w:id="0" w:name="spsSymbolHeader"/>
    <w:r w:rsidRPr="002F6A28">
      <w:t>G/TBT/N/EU/1209</w:t>
    </w:r>
    <w:bookmarkEnd w:id="0"/>
  </w:p>
  <w:p w:rsidR="009239F7" w:rsidRPr="002F6A28" w:rsidP="009239F7" w14:paraId="0742D4CB" w14:textId="77777777">
    <w:pPr>
      <w:pStyle w:val="Header"/>
      <w:pBdr>
        <w:bottom w:val="single" w:sz="4" w:space="1" w:color="auto"/>
      </w:pBdr>
      <w:tabs>
        <w:tab w:val="clear" w:pos="4513"/>
        <w:tab w:val="clear" w:pos="9027"/>
      </w:tabs>
      <w:jc w:val="center"/>
    </w:pPr>
  </w:p>
  <w:p w:rsidR="009239F7" w:rsidRPr="002F6A28" w:rsidP="009239F7" w14:paraId="29EA25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B7CE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BF87A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989F7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2A8866" w14:textId="77777777">
          <w:pPr>
            <w:jc w:val="right"/>
            <w:rPr>
              <w:b/>
              <w:color w:val="FF0000"/>
              <w:szCs w:val="16"/>
            </w:rPr>
          </w:pPr>
        </w:p>
      </w:tc>
    </w:tr>
    <w:bookmarkEnd w:id="1"/>
    <w:tr w14:paraId="635B61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AC4AA6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CAE260" w14:textId="77777777">
          <w:pPr>
            <w:jc w:val="right"/>
            <w:rPr>
              <w:b/>
              <w:szCs w:val="16"/>
            </w:rPr>
          </w:pPr>
        </w:p>
      </w:tc>
    </w:tr>
    <w:tr w14:paraId="03DE61F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B2A9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287A08" w14:textId="77777777">
          <w:pPr>
            <w:jc w:val="right"/>
            <w:rPr>
              <w:b/>
              <w:szCs w:val="16"/>
            </w:rPr>
          </w:pPr>
          <w:bookmarkStart w:id="2" w:name="bmkSymbols"/>
          <w:r w:rsidRPr="002F6A28">
            <w:rPr>
              <w:b/>
              <w:szCs w:val="16"/>
            </w:rPr>
            <w:t>G/TBT/N/EU/1209</w:t>
          </w:r>
          <w:bookmarkEnd w:id="2"/>
        </w:p>
      </w:tc>
    </w:tr>
    <w:tr w14:paraId="3CC8C6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613180" w14:textId="77777777"/>
      </w:tc>
      <w:tc>
        <w:tcPr>
          <w:tcW w:w="5448" w:type="dxa"/>
          <w:gridSpan w:val="2"/>
          <w:shd w:val="clear" w:color="auto" w:fill="FFFFFF"/>
          <w:tcMar>
            <w:left w:w="108" w:type="dxa"/>
            <w:right w:w="108" w:type="dxa"/>
          </w:tcMar>
          <w:vAlign w:val="center"/>
        </w:tcPr>
        <w:p w:rsidR="00ED54E0" w:rsidRPr="009239F7" w:rsidP="00B801E9" w14:paraId="7CB4BD22" w14:textId="77777777">
          <w:pPr>
            <w:jc w:val="right"/>
            <w:rPr>
              <w:szCs w:val="16"/>
            </w:rPr>
          </w:pPr>
          <w:bookmarkStart w:id="3" w:name="spsDateDistribution"/>
          <w:bookmarkStart w:id="4" w:name="bmkDate"/>
          <w:r w:rsidRPr="009239F7">
            <w:rPr>
              <w:szCs w:val="16"/>
            </w:rPr>
            <w:t>18 May 2026</w:t>
          </w:r>
          <w:bookmarkEnd w:id="3"/>
          <w:bookmarkEnd w:id="4"/>
        </w:p>
      </w:tc>
    </w:tr>
    <w:tr w14:paraId="4183299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D62AE92" w14:textId="77777777">
          <w:pPr>
            <w:jc w:val="left"/>
            <w:rPr>
              <w:b/>
            </w:rPr>
          </w:pPr>
          <w:bookmarkStart w:id="5" w:name="bmkSerial"/>
          <w:r>
            <w:rPr>
              <w:rFonts w:ascii="Verdana" w:eastAsia="Verdana" w:hAnsi="Verdana" w:cs="Verdana"/>
              <w:b w:val="0"/>
              <w:color w:val="FF0000"/>
              <w:sz w:val="18"/>
            </w:rPr>
            <w:t>(26-3645)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D00C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533BB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DEFFB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04C70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F25D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4250225">
    <w:abstractNumId w:val="9"/>
  </w:num>
  <w:num w:numId="2" w16cid:durableId="1415709954">
    <w:abstractNumId w:val="7"/>
  </w:num>
  <w:num w:numId="3" w16cid:durableId="1755467880">
    <w:abstractNumId w:val="6"/>
  </w:num>
  <w:num w:numId="4" w16cid:durableId="1273130497">
    <w:abstractNumId w:val="5"/>
  </w:num>
  <w:num w:numId="5" w16cid:durableId="2033145182">
    <w:abstractNumId w:val="4"/>
  </w:num>
  <w:num w:numId="6" w16cid:durableId="1101143693">
    <w:abstractNumId w:val="12"/>
  </w:num>
  <w:num w:numId="7" w16cid:durableId="1983384467">
    <w:abstractNumId w:val="11"/>
  </w:num>
  <w:num w:numId="8" w16cid:durableId="2061007157">
    <w:abstractNumId w:val="10"/>
  </w:num>
  <w:num w:numId="9" w16cid:durableId="630670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2166855">
    <w:abstractNumId w:val="13"/>
  </w:num>
  <w:num w:numId="11" w16cid:durableId="1695693196">
    <w:abstractNumId w:val="8"/>
  </w:num>
  <w:num w:numId="12" w16cid:durableId="267080189">
    <w:abstractNumId w:val="3"/>
  </w:num>
  <w:num w:numId="13" w16cid:durableId="1708524332">
    <w:abstractNumId w:val="2"/>
  </w:num>
  <w:num w:numId="14" w16cid:durableId="532306168">
    <w:abstractNumId w:val="1"/>
  </w:num>
  <w:num w:numId="15" w16cid:durableId="13376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283D"/>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366E"/>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2BA9"/>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F98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587_00_e.pdf" TargetMode="External" /><Relationship Id="rId9" Type="http://schemas.openxmlformats.org/officeDocument/2006/relationships/hyperlink" Target="http://data.europa.eu/eli/reg_impl/2022/2105/2022-11-0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23B3B16-3DA1-4080-B69F-D3BC0CF915F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2026-05-18T09:08:00Z</dcterms:created>
  <dcterms:modified xsi:type="dcterms:W3CDTF">2026-05-18T09:08:00Z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