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2569FB" w14:textId="77777777">
      <w:pPr>
        <w:pStyle w:val="Title"/>
        <w:rPr>
          <w:caps w:val="0"/>
          <w:kern w:val="0"/>
        </w:rPr>
      </w:pPr>
      <w:r w:rsidRPr="002F6A28">
        <w:rPr>
          <w:caps w:val="0"/>
          <w:kern w:val="0"/>
        </w:rPr>
        <w:t>NOTIFICATION</w:t>
      </w:r>
    </w:p>
    <w:p w:rsidR="009239F7" w:rsidRPr="002F6A28" w:rsidP="002F6A28" w14:paraId="135F62EE" w14:textId="77777777">
      <w:pPr>
        <w:jc w:val="center"/>
      </w:pPr>
      <w:r w:rsidRPr="002F6A28">
        <w:t>The following notification is being circulated in accordance with Article 10.6</w:t>
      </w:r>
    </w:p>
    <w:p w:rsidR="009239F7" w:rsidRPr="002F6A28" w:rsidP="002F6A28" w14:paraId="4D63066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68FB3BE" w14:textId="77777777" w:rsidTr="00DB13FE">
        <w:tblPrEx>
          <w:tblW w:w="5000" w:type="pct"/>
          <w:tblLayout w:type="fixed"/>
          <w:tblLook w:val="0000"/>
        </w:tblPrEx>
        <w:tc>
          <w:tcPr>
            <w:tcW w:w="607" w:type="dxa"/>
            <w:tcBorders>
              <w:top w:val="double" w:sz="4" w:space="0" w:color="auto"/>
            </w:tcBorders>
          </w:tcPr>
          <w:p w:rsidR="00F85C99" w:rsidRPr="002F6A28" w:rsidP="002F6A28" w14:paraId="6AF9566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A747964"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161F8B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D25E4C" w14:textId="77777777" w:rsidTr="00DB13FE">
        <w:tblPrEx>
          <w:tblW w:w="5000" w:type="pct"/>
          <w:tblLayout w:type="fixed"/>
          <w:tblLook w:val="0000"/>
        </w:tblPrEx>
        <w:tc>
          <w:tcPr>
            <w:tcW w:w="607" w:type="dxa"/>
          </w:tcPr>
          <w:p w:rsidR="00F85C99" w:rsidRPr="002F6A28" w:rsidP="002F6A28" w14:paraId="51EF2E07" w14:textId="77777777">
            <w:pPr>
              <w:spacing w:before="120" w:after="120"/>
              <w:jc w:val="left"/>
            </w:pPr>
            <w:r w:rsidRPr="002F6A28">
              <w:rPr>
                <w:b/>
              </w:rPr>
              <w:t>2.</w:t>
            </w:r>
          </w:p>
        </w:tc>
        <w:tc>
          <w:tcPr>
            <w:tcW w:w="8373" w:type="dxa"/>
          </w:tcPr>
          <w:p w:rsidR="00F85C99" w:rsidRPr="002F6A28" w:rsidP="000C3B6C" w14:paraId="5FC5B09C" w14:textId="77777777">
            <w:pPr>
              <w:spacing w:before="120" w:after="120"/>
            </w:pPr>
            <w:r w:rsidRPr="002F6A28">
              <w:rPr>
                <w:b/>
              </w:rPr>
              <w:t>Agency responsible:</w:t>
            </w:r>
            <w:r w:rsidRPr="00C379C8" w:rsidR="00EE3A11">
              <w:t xml:space="preserve"> </w:t>
            </w:r>
          </w:p>
          <w:p w:rsidR="00EE3A11" w:rsidRPr="00C379C8" w:rsidP="000C3B6C" w14:paraId="3E154A5B" w14:textId="77777777">
            <w:pPr>
              <w:spacing w:after="120"/>
            </w:pPr>
            <w:r w:rsidRPr="00C379C8">
              <w:t>Bureau of Alcohol, Tobacco, Firearms, and Explosives (ATF), Department of Justice (DOJ) [2311]</w:t>
            </w:r>
          </w:p>
        </w:tc>
      </w:tr>
      <w:tr w14:paraId="2E9C4479" w14:textId="77777777" w:rsidTr="00DB13FE">
        <w:tblPrEx>
          <w:tblW w:w="5000" w:type="pct"/>
          <w:tblLayout w:type="fixed"/>
          <w:tblLook w:val="0000"/>
        </w:tblPrEx>
        <w:tc>
          <w:tcPr>
            <w:tcW w:w="607" w:type="dxa"/>
          </w:tcPr>
          <w:p w:rsidR="00F85C99" w:rsidRPr="002F6A28" w:rsidP="002F6A28" w14:paraId="0E787044" w14:textId="77777777">
            <w:pPr>
              <w:spacing w:before="120" w:after="120"/>
              <w:jc w:val="left"/>
              <w:rPr>
                <w:b/>
              </w:rPr>
            </w:pPr>
            <w:r w:rsidRPr="002F6A28">
              <w:rPr>
                <w:b/>
              </w:rPr>
              <w:t>3.</w:t>
            </w:r>
          </w:p>
        </w:tc>
        <w:tc>
          <w:tcPr>
            <w:tcW w:w="8373" w:type="dxa"/>
          </w:tcPr>
          <w:p w:rsidR="00F85C99" w:rsidRPr="0058336F" w:rsidP="002F6A28" w14:paraId="3D778E5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512B78" w14:textId="77777777" w:rsidTr="00DB13FE">
        <w:tblPrEx>
          <w:tblW w:w="5000" w:type="pct"/>
          <w:tblLayout w:type="fixed"/>
          <w:tblLook w:val="0000"/>
        </w:tblPrEx>
        <w:tc>
          <w:tcPr>
            <w:tcW w:w="607" w:type="dxa"/>
          </w:tcPr>
          <w:p w:rsidR="00F85C99" w:rsidRPr="002F6A28" w:rsidP="002F6A28" w14:paraId="3BFB9785" w14:textId="77777777">
            <w:pPr>
              <w:spacing w:before="120" w:after="120"/>
              <w:jc w:val="left"/>
            </w:pPr>
            <w:r w:rsidRPr="002F6A28">
              <w:rPr>
                <w:b/>
              </w:rPr>
              <w:t>4.</w:t>
            </w:r>
          </w:p>
        </w:tc>
        <w:tc>
          <w:tcPr>
            <w:tcW w:w="8373" w:type="dxa"/>
          </w:tcPr>
          <w:p w:rsidR="00F85C99" w:rsidRPr="002F6A28" w:rsidP="002F6A28" w14:paraId="3DF0A0A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Firearms; dual-use frames, receivers, or barrels; ARMS AND AMMUNITION; PARTS AND ACCESSORIES THEREOF (HS code(s): 93); Weapons (ICS code(s): 95.060)</w:t>
            </w:r>
          </w:p>
        </w:tc>
      </w:tr>
      <w:tr w14:paraId="7147FBD0" w14:textId="77777777" w:rsidTr="00DB13FE">
        <w:tblPrEx>
          <w:tblW w:w="5000" w:type="pct"/>
          <w:tblLayout w:type="fixed"/>
          <w:tblLook w:val="0000"/>
        </w:tblPrEx>
        <w:tc>
          <w:tcPr>
            <w:tcW w:w="607" w:type="dxa"/>
          </w:tcPr>
          <w:p w:rsidR="00F85C99" w:rsidRPr="002F6A28" w:rsidP="002F6A28" w14:paraId="6BFD88E3" w14:textId="77777777">
            <w:pPr>
              <w:spacing w:before="120" w:after="120"/>
              <w:jc w:val="left"/>
            </w:pPr>
            <w:r w:rsidRPr="002F6A28">
              <w:rPr>
                <w:b/>
              </w:rPr>
              <w:t>5.</w:t>
            </w:r>
          </w:p>
        </w:tc>
        <w:tc>
          <w:tcPr>
            <w:tcW w:w="8373" w:type="dxa"/>
          </w:tcPr>
          <w:p w:rsidR="00F85C99" w:rsidP="002F6A28" w14:paraId="787954B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Importing Dual-Use Frames, Receivers, or Barrels; (10 page(s), in English)</w:t>
            </w:r>
          </w:p>
          <w:p w:rsidR="000C3B6C" w:rsidRPr="000C3B6C" w:rsidP="002F6A28" w14:paraId="61B2D74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96968" w:rsidRPr="00CE6C29" w:rsidP="002F6A28" w14:paraId="24F8A11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https://members.wto.org/crnattachments/2026/TBT/USA/26_02467_00_e.pdf</w:t>
              </w:r>
            </w:hyperlink>
          </w:p>
        </w:tc>
      </w:tr>
      <w:tr w14:paraId="45EA5DBD" w14:textId="77777777" w:rsidTr="00DB13FE">
        <w:tblPrEx>
          <w:tblW w:w="5000" w:type="pct"/>
          <w:tblLayout w:type="fixed"/>
          <w:tblLook w:val="0000"/>
        </w:tblPrEx>
        <w:tc>
          <w:tcPr>
            <w:tcW w:w="607" w:type="dxa"/>
          </w:tcPr>
          <w:p w:rsidR="00F85C99" w:rsidRPr="002F6A28" w:rsidP="002F6A28" w14:paraId="71945751" w14:textId="77777777">
            <w:pPr>
              <w:spacing w:before="120" w:after="120"/>
              <w:jc w:val="left"/>
              <w:rPr>
                <w:b/>
              </w:rPr>
            </w:pPr>
            <w:r w:rsidRPr="002F6A28">
              <w:rPr>
                <w:b/>
              </w:rPr>
              <w:t>6.</w:t>
            </w:r>
          </w:p>
        </w:tc>
        <w:tc>
          <w:tcPr>
            <w:tcW w:w="8373" w:type="dxa"/>
          </w:tcPr>
          <w:p w:rsidR="00F85C99" w:rsidRPr="002F6A28" w:rsidP="002F6A28" w14:paraId="62E6A8E6" w14:textId="77777777">
            <w:pPr>
              <w:spacing w:before="120" w:after="120"/>
              <w:rPr>
                <w:b/>
              </w:rPr>
            </w:pPr>
            <w:r w:rsidRPr="002F6A28">
              <w:rPr>
                <w:b/>
              </w:rPr>
              <w:t>Description of content:</w:t>
            </w:r>
            <w:r w:rsidRPr="00C379C8" w:rsidR="00FE448B">
              <w:t xml:space="preserve"> Notice of proposed rulemaking - The Bureau of Alcohol, Tobacco, Firearms, and Explosives (''ATF'') proposes amending Department of Justice (''Department'') regulations to clarify that federal firearms licensees (''FFLs'') may lawfully import frames, receivers, or barrels that may be used on both sporting and non-sporting firearms (''dual-use frames, receivers, or barrels'') if, at the time imported, there is an identified firearm sporting configuration for the frame, receiver, or barrel. Further, once the frame, receiver, or barrel is in the United States, a dual-use frame, receiver, or barrel may be used to assemble a sporting, non- sporting, or National Firearms Act (''</w:t>
            </w:r>
            <w:hyperlink r:id="rId7" w:history="1">
              <w:r w:rsidRPr="00C379C8" w:rsidR="00FE448B">
                <w:rPr>
                  <w:color w:val="0000FF"/>
                  <w:u w:val="single"/>
                </w:rPr>
                <w:t>NFA</w:t>
              </w:r>
            </w:hyperlink>
            <w:r w:rsidRPr="00C379C8" w:rsidR="00FE448B">
              <w:t xml:space="preserve">'') firearm, provided assembling such firearm complies with other federal firearms laws. </w:t>
            </w:r>
          </w:p>
        </w:tc>
      </w:tr>
      <w:tr w14:paraId="73210E55" w14:textId="77777777" w:rsidTr="00DB13FE">
        <w:tblPrEx>
          <w:tblW w:w="5000" w:type="pct"/>
          <w:tblLayout w:type="fixed"/>
          <w:tblLook w:val="0000"/>
        </w:tblPrEx>
        <w:tc>
          <w:tcPr>
            <w:tcW w:w="607" w:type="dxa"/>
          </w:tcPr>
          <w:p w:rsidR="00F85C99" w:rsidRPr="002F6A28" w:rsidP="002F6A28" w14:paraId="4B1B01DD" w14:textId="77777777">
            <w:pPr>
              <w:spacing w:before="120" w:after="120"/>
              <w:jc w:val="left"/>
              <w:rPr>
                <w:b/>
              </w:rPr>
            </w:pPr>
            <w:r w:rsidRPr="002F6A28">
              <w:rPr>
                <w:b/>
              </w:rPr>
              <w:t>7.</w:t>
            </w:r>
          </w:p>
        </w:tc>
        <w:tc>
          <w:tcPr>
            <w:tcW w:w="8373" w:type="dxa"/>
          </w:tcPr>
          <w:p w:rsidR="00F85C99" w:rsidRPr="002F6A28" w:rsidP="002F6A28" w14:paraId="66234BD5"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 Cost saving and productivity enhancement</w:t>
            </w:r>
          </w:p>
        </w:tc>
      </w:tr>
      <w:tr w14:paraId="6D9D4199" w14:textId="77777777" w:rsidTr="00DB13FE">
        <w:tblPrEx>
          <w:tblW w:w="5000" w:type="pct"/>
          <w:tblLayout w:type="fixed"/>
          <w:tblLook w:val="0000"/>
        </w:tblPrEx>
        <w:tc>
          <w:tcPr>
            <w:tcW w:w="607" w:type="dxa"/>
          </w:tcPr>
          <w:p w:rsidR="00F85C99" w:rsidRPr="002F6A28" w:rsidP="009E75ED" w14:paraId="562FB88E" w14:textId="77777777">
            <w:pPr>
              <w:spacing w:before="120" w:after="120"/>
              <w:jc w:val="left"/>
              <w:rPr>
                <w:b/>
              </w:rPr>
            </w:pPr>
            <w:r w:rsidRPr="002F6A28">
              <w:rPr>
                <w:b/>
              </w:rPr>
              <w:t>8.</w:t>
            </w:r>
          </w:p>
        </w:tc>
        <w:tc>
          <w:tcPr>
            <w:tcW w:w="8373" w:type="dxa"/>
          </w:tcPr>
          <w:p w:rsidR="000C3B6C" w:rsidRPr="00EC00D2" w:rsidP="007F13E8" w14:paraId="7FC80C27" w14:textId="77777777">
            <w:pPr>
              <w:spacing w:before="120" w:after="120"/>
              <w:rPr>
                <w:bCs/>
              </w:rPr>
            </w:pPr>
            <w:r w:rsidRPr="002F6A28">
              <w:rPr>
                <w:b/>
              </w:rPr>
              <w:t>Relevant documents:</w:t>
            </w:r>
            <w:r w:rsidRPr="002F6A28" w:rsidR="00EE3A11">
              <w:t xml:space="preserve"> </w:t>
            </w:r>
          </w:p>
          <w:p w:rsidR="00EE3A11" w:rsidRPr="002F6A28" w:rsidP="007F13E8" w14:paraId="38873BF0" w14:textId="77777777">
            <w:pPr>
              <w:spacing w:before="120" w:after="120"/>
            </w:pPr>
            <w:r w:rsidRPr="002F6A28">
              <w:t xml:space="preserve">91 Federal Register (FR) 25192, 8 May 2026; </w:t>
            </w:r>
            <w:hyperlink r:id="rId8" w:history="1">
              <w:r w:rsidRPr="002F6A28">
                <w:rPr>
                  <w:color w:val="0000FF"/>
                  <w:u w:val="single"/>
                </w:rPr>
                <w:t>Title 27 Code of Federal Regulations (CFR) Part 478</w:t>
              </w:r>
            </w:hyperlink>
            <w:r w:rsidRPr="002F6A28">
              <w:t>:</w:t>
            </w:r>
          </w:p>
          <w:p w:rsidR="00EE3A11" w:rsidRPr="002F6A28" w:rsidP="007F13E8" w14:paraId="3713451F" w14:textId="77777777">
            <w:pPr>
              <w:spacing w:before="120" w:after="120"/>
            </w:pPr>
            <w:hyperlink r:id="rId9" w:history="1">
              <w:r w:rsidRPr="002F6A28">
                <w:rPr>
                  <w:color w:val="0000FF"/>
                  <w:u w:val="single"/>
                </w:rPr>
                <w:t>https://www.govinfo.gov/content/pkg/FR-2026-05-08/html/2026-09163.htm</w:t>
              </w:r>
            </w:hyperlink>
          </w:p>
          <w:p w:rsidR="00EE3A11" w:rsidRPr="002F6A28" w:rsidP="007F13E8" w14:paraId="794F956B" w14:textId="77777777">
            <w:pPr>
              <w:spacing w:before="120" w:after="120"/>
            </w:pPr>
            <w:hyperlink r:id="rId10" w:history="1">
              <w:r w:rsidRPr="002F6A28">
                <w:rPr>
                  <w:color w:val="0000FF"/>
                  <w:u w:val="single"/>
                </w:rPr>
                <w:t>https://www.govinfo.gov/content/pkg/FR-2026-05-08/pdf/2026-09163.pdf</w:t>
              </w:r>
            </w:hyperlink>
          </w:p>
          <w:p w:rsidR="00EE3A11" w:rsidRPr="002F6A28" w:rsidP="007F13E8" w14:paraId="7D241DEE" w14:textId="77777777">
            <w:pPr>
              <w:spacing w:before="120" w:after="120"/>
            </w:pPr>
            <w:r w:rsidRPr="002F6A28">
              <w:t xml:space="preserve">This notice of proposed rulemaking is identified by Docket Number ATF-2026-0070. The Docket Folder is available on Regulations.gov at </w:t>
            </w:r>
            <w:hyperlink r:id="rId11" w:history="1">
              <w:r w:rsidRPr="002F6A28">
                <w:rPr>
                  <w:color w:val="0000FF"/>
                  <w:u w:val="single"/>
                </w:rPr>
                <w:t>https://www.regulations.gov/docket/ATF-2026-0070/document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5A241736" w14:textId="77777777" w:rsidTr="00DB13FE">
        <w:tblPrEx>
          <w:tblW w:w="5000" w:type="pct"/>
          <w:tblLayout w:type="fixed"/>
          <w:tblLook w:val="0000"/>
        </w:tblPrEx>
        <w:tc>
          <w:tcPr>
            <w:tcW w:w="607" w:type="dxa"/>
          </w:tcPr>
          <w:p w:rsidR="00EE3A11" w:rsidRPr="002F6A28" w:rsidP="002F6A28" w14:paraId="44EA7A73" w14:textId="77777777">
            <w:pPr>
              <w:spacing w:before="120" w:after="120"/>
              <w:jc w:val="left"/>
              <w:rPr>
                <w:b/>
              </w:rPr>
            </w:pPr>
            <w:r w:rsidRPr="002F6A28">
              <w:rPr>
                <w:b/>
              </w:rPr>
              <w:t>9.</w:t>
            </w:r>
          </w:p>
        </w:tc>
        <w:tc>
          <w:tcPr>
            <w:tcW w:w="8373" w:type="dxa"/>
          </w:tcPr>
          <w:p w:rsidR="00EE3A11" w:rsidRPr="002F6A28" w:rsidP="008953C4" w14:paraId="72686EF5" w14:textId="77777777">
            <w:pPr>
              <w:spacing w:before="120" w:after="120"/>
            </w:pPr>
            <w:r w:rsidRPr="002F6A28">
              <w:rPr>
                <w:b/>
              </w:rPr>
              <w:t>Proposed date of adoption:</w:t>
            </w:r>
            <w:r w:rsidRPr="00C379C8">
              <w:t xml:space="preserve"> To be determined</w:t>
            </w:r>
          </w:p>
          <w:p w:rsidR="00EE3A11" w:rsidRPr="002F6A28" w:rsidP="008953C4" w14:paraId="2B759D66" w14:textId="77777777">
            <w:pPr>
              <w:spacing w:after="120"/>
            </w:pPr>
            <w:r w:rsidRPr="002F6A28">
              <w:rPr>
                <w:b/>
              </w:rPr>
              <w:t>Proposed date of entry into force:</w:t>
            </w:r>
            <w:r w:rsidRPr="00C379C8">
              <w:t xml:space="preserve"> To be determined</w:t>
            </w:r>
          </w:p>
        </w:tc>
      </w:tr>
      <w:tr w14:paraId="5D48D73E" w14:textId="77777777" w:rsidTr="00DB13FE">
        <w:tblPrEx>
          <w:tblW w:w="5000" w:type="pct"/>
          <w:tblLayout w:type="fixed"/>
          <w:tblLook w:val="0000"/>
        </w:tblPrEx>
        <w:tc>
          <w:tcPr>
            <w:tcW w:w="607" w:type="dxa"/>
            <w:tcBorders>
              <w:bottom w:val="double" w:sz="4" w:space="0" w:color="auto"/>
            </w:tcBorders>
          </w:tcPr>
          <w:p w:rsidR="00F85C99" w:rsidRPr="002F6A28" w:rsidP="002F6A28" w14:paraId="359B658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593EAD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6A5871C" w14:textId="77777777">
            <w:pPr>
              <w:spacing w:before="120" w:after="120"/>
              <w:rPr>
                <w:bCs/>
              </w:rPr>
            </w:pPr>
            <w:r w:rsidRPr="002F6A28">
              <w:rPr>
                <w:b/>
              </w:rPr>
              <w:t>Final date for comments:</w:t>
            </w:r>
            <w:r w:rsidRPr="00C379C8" w:rsidR="00EE3A11">
              <w:t xml:space="preserve"> 6 August 2026</w:t>
            </w:r>
          </w:p>
          <w:p w:rsidR="000C3B6C" w:rsidRPr="00E3324D" w:rsidP="000C3B6C" w14:paraId="073D15D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D7AA1D5"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6 August 2026. Comments received by the USA TBT Enquiry Point from WTO Members and their stakeholders will be shared with the ATF and will also be submitted to the </w:t>
            </w:r>
            <w:hyperlink r:id="rId11" w:history="1">
              <w:r w:rsidRPr="006A4C49">
                <w:rPr>
                  <w:color w:val="0000FF"/>
                  <w:u w:val="single"/>
                </w:rPr>
                <w:t>Docket</w:t>
              </w:r>
            </w:hyperlink>
            <w:r w:rsidRPr="006A4C49">
              <w:t xml:space="preserve"> on Regulations.gov if received within the comment period.</w:t>
            </w:r>
          </w:p>
          <w:p w:rsidR="000C3B6C" w:rsidRPr="002F6A28" w:rsidP="000C3B6C" w14:paraId="749F36F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B0D036B"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4E764847"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87F58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DD9CA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BC6BC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F89F8D" w14:textId="77777777">
    <w:pPr>
      <w:pStyle w:val="Header"/>
      <w:pBdr>
        <w:bottom w:val="single" w:sz="4" w:space="1" w:color="auto"/>
      </w:pBdr>
      <w:tabs>
        <w:tab w:val="clear" w:pos="4513"/>
        <w:tab w:val="clear" w:pos="9027"/>
      </w:tabs>
      <w:jc w:val="center"/>
    </w:pPr>
    <w:r w:rsidRPr="002F6A28">
      <w:t>tbtSymbol</w:t>
    </w:r>
  </w:p>
  <w:p w:rsidR="009239F7" w:rsidRPr="002F6A28" w:rsidP="009239F7" w14:paraId="5D0D991F" w14:textId="77777777">
    <w:pPr>
      <w:pStyle w:val="Header"/>
      <w:pBdr>
        <w:bottom w:val="single" w:sz="4" w:space="1" w:color="auto"/>
      </w:pBdr>
      <w:tabs>
        <w:tab w:val="clear" w:pos="4513"/>
        <w:tab w:val="clear" w:pos="9027"/>
      </w:tabs>
      <w:jc w:val="center"/>
    </w:pPr>
  </w:p>
  <w:p w:rsidR="009239F7" w:rsidRPr="002F6A28" w:rsidP="009239F7" w14:paraId="6DB81D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46B6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5E51FE" w14:textId="77777777">
    <w:pPr>
      <w:pStyle w:val="Header"/>
      <w:pBdr>
        <w:bottom w:val="single" w:sz="4" w:space="1" w:color="auto"/>
      </w:pBdr>
      <w:tabs>
        <w:tab w:val="clear" w:pos="4513"/>
        <w:tab w:val="clear" w:pos="9027"/>
      </w:tabs>
      <w:jc w:val="center"/>
    </w:pPr>
    <w:bookmarkStart w:id="0" w:name="spsSymbolHeader"/>
    <w:r w:rsidRPr="002F6A28">
      <w:t>G/TBT/N/USA/2277</w:t>
    </w:r>
    <w:bookmarkEnd w:id="0"/>
  </w:p>
  <w:p w:rsidR="009239F7" w:rsidRPr="002F6A28" w:rsidP="009239F7" w14:paraId="537C29DB" w14:textId="77777777">
    <w:pPr>
      <w:pStyle w:val="Header"/>
      <w:pBdr>
        <w:bottom w:val="single" w:sz="4" w:space="1" w:color="auto"/>
      </w:pBdr>
      <w:tabs>
        <w:tab w:val="clear" w:pos="4513"/>
        <w:tab w:val="clear" w:pos="9027"/>
      </w:tabs>
      <w:jc w:val="center"/>
    </w:pPr>
  </w:p>
  <w:p w:rsidR="009239F7" w:rsidRPr="002F6A28" w:rsidP="009239F7" w14:paraId="5D5E935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04685B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CBCFE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CF127F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A977E0F" w14:textId="77777777">
          <w:pPr>
            <w:jc w:val="right"/>
            <w:rPr>
              <w:b/>
              <w:color w:val="FF0000"/>
              <w:szCs w:val="16"/>
            </w:rPr>
          </w:pPr>
        </w:p>
      </w:tc>
    </w:tr>
    <w:bookmarkEnd w:id="1"/>
    <w:tr w14:paraId="5E7C2E7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F4A6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93B464" w14:textId="77777777">
          <w:pPr>
            <w:jc w:val="right"/>
            <w:rPr>
              <w:b/>
              <w:szCs w:val="16"/>
            </w:rPr>
          </w:pPr>
        </w:p>
      </w:tc>
    </w:tr>
    <w:tr w14:paraId="2EFC16C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0FE97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67C70B1" w14:textId="77777777">
          <w:pPr>
            <w:jc w:val="right"/>
            <w:rPr>
              <w:b/>
              <w:szCs w:val="16"/>
            </w:rPr>
          </w:pPr>
          <w:bookmarkStart w:id="2" w:name="bmkSymbols"/>
          <w:r w:rsidRPr="002F6A28">
            <w:rPr>
              <w:b/>
              <w:szCs w:val="16"/>
            </w:rPr>
            <w:t>G/TBT/N/USA/2277</w:t>
          </w:r>
          <w:bookmarkEnd w:id="2"/>
        </w:p>
      </w:tc>
    </w:tr>
    <w:tr w14:paraId="50E98E5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03DB3E" w14:textId="77777777"/>
      </w:tc>
      <w:tc>
        <w:tcPr>
          <w:tcW w:w="5448" w:type="dxa"/>
          <w:gridSpan w:val="2"/>
          <w:shd w:val="clear" w:color="auto" w:fill="FFFFFF"/>
          <w:tcMar>
            <w:left w:w="108" w:type="dxa"/>
            <w:right w:w="108" w:type="dxa"/>
          </w:tcMar>
          <w:vAlign w:val="center"/>
        </w:tcPr>
        <w:p w:rsidR="00ED54E0" w:rsidRPr="009239F7" w:rsidP="00B801E9" w14:paraId="66FE9D68" w14:textId="77777777">
          <w:pPr>
            <w:jc w:val="right"/>
            <w:rPr>
              <w:szCs w:val="16"/>
            </w:rPr>
          </w:pPr>
          <w:bookmarkStart w:id="3" w:name="spsDateDistribution"/>
          <w:bookmarkStart w:id="4" w:name="bmkDate"/>
          <w:r w:rsidRPr="009239F7">
            <w:rPr>
              <w:szCs w:val="16"/>
            </w:rPr>
            <w:t>11 May 2026</w:t>
          </w:r>
          <w:bookmarkEnd w:id="3"/>
          <w:bookmarkEnd w:id="4"/>
        </w:p>
      </w:tc>
    </w:tr>
    <w:tr w14:paraId="6C78A9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B06D7EE" w14:textId="77777777">
          <w:pPr>
            <w:jc w:val="left"/>
            <w:rPr>
              <w:b/>
            </w:rPr>
          </w:pPr>
          <w:bookmarkStart w:id="5" w:name="bmkSerial"/>
          <w:r>
            <w:rPr>
              <w:rFonts w:ascii="Verdana" w:eastAsia="Verdana" w:hAnsi="Verdana" w:cs="Verdana"/>
              <w:b w:val="0"/>
              <w:color w:val="FF0000"/>
              <w:sz w:val="18"/>
            </w:rPr>
            <w:t>(26-3487)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96990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C08C8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0BBA8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FF2F2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DB50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8702909">
    <w:abstractNumId w:val="9"/>
  </w:num>
  <w:num w:numId="2" w16cid:durableId="1780250246">
    <w:abstractNumId w:val="7"/>
  </w:num>
  <w:num w:numId="3" w16cid:durableId="1693147158">
    <w:abstractNumId w:val="6"/>
  </w:num>
  <w:num w:numId="4" w16cid:durableId="637341486">
    <w:abstractNumId w:val="5"/>
  </w:num>
  <w:num w:numId="5" w16cid:durableId="57754963">
    <w:abstractNumId w:val="4"/>
  </w:num>
  <w:num w:numId="6" w16cid:durableId="525676483">
    <w:abstractNumId w:val="12"/>
  </w:num>
  <w:num w:numId="7" w16cid:durableId="598685360">
    <w:abstractNumId w:val="11"/>
  </w:num>
  <w:num w:numId="8" w16cid:durableId="1625384305">
    <w:abstractNumId w:val="10"/>
  </w:num>
  <w:num w:numId="9" w16cid:durableId="1438868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2750797">
    <w:abstractNumId w:val="13"/>
  </w:num>
  <w:num w:numId="11" w16cid:durableId="977035649">
    <w:abstractNumId w:val="8"/>
  </w:num>
  <w:num w:numId="12" w16cid:durableId="178810979">
    <w:abstractNumId w:val="3"/>
  </w:num>
  <w:num w:numId="13" w16cid:durableId="1792164502">
    <w:abstractNumId w:val="2"/>
  </w:num>
  <w:num w:numId="14" w16cid:durableId="29766067">
    <w:abstractNumId w:val="1"/>
  </w:num>
  <w:num w:numId="15" w16cid:durableId="189203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4098"/>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96968"/>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2DD8"/>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BABB4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5-08/pdf/2026-09163.pdf" TargetMode="External" /><Relationship Id="rId11" Type="http://schemas.openxmlformats.org/officeDocument/2006/relationships/hyperlink" Target="https://www.regulations.gov/docket/ATF-2026-0070/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467_00_e.pdf" TargetMode="External" /><Relationship Id="rId7" Type="http://schemas.openxmlformats.org/officeDocument/2006/relationships/hyperlink" Target="https://www.atf.gov/rules-and-regulations/laws-alcohol-tobacco-firearms-and-explosives/national-firearms-act" TargetMode="External" /><Relationship Id="rId8" Type="http://schemas.openxmlformats.org/officeDocument/2006/relationships/hyperlink" Target="https://www.ecfr.gov/current/title-27/chapter-II/subchapter-B/part-478" TargetMode="External" /><Relationship Id="rId9" Type="http://schemas.openxmlformats.org/officeDocument/2006/relationships/hyperlink" Target="https://www.govinfo.gov/content/pkg/FR-2026-05-08/html/2026-09163.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00DDAC7-7814-42CF-8473-97BD0325844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2026-05-11T07:30:00Z</dcterms:created>
  <dcterms:modified xsi:type="dcterms:W3CDTF">2026-05-11T07:30:00Z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