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FEC748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D3E48AA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976666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7E21A3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E42F2D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96B7E04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2BCE6414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2ACFDC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814D71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428BA9A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2F74209" w14:textId="77777777">
            <w:pPr>
              <w:spacing w:after="120"/>
            </w:pPr>
            <w:r w:rsidRPr="003A3E55">
              <w:t>Instituto de Salud Pública (ISP)</w:t>
            </w:r>
          </w:p>
        </w:tc>
      </w:tr>
      <w:tr w14:paraId="6BED754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18FAE9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0294FF7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A9CD46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FB9B1C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1E6497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Productos Farmacéuticos</w:t>
            </w:r>
          </w:p>
        </w:tc>
      </w:tr>
      <w:tr w14:paraId="0342A22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D8CAD5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8E382A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Agua para uso farmacéutico: Guía para su registro sanitario y exigencias para antibióticos de uso oral.; (20 página(s), en español)</w:t>
            </w:r>
          </w:p>
          <w:p w:rsidR="00145C22" w:rsidRPr="00F70F54" w:rsidP="003A3E55" w14:paraId="3B173D0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58CBD3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https://members.wto.org/crnattachments/2026/TBT/CHL/26_02445_00_s.pdf</w:t>
              </w:r>
            </w:hyperlink>
          </w:p>
        </w:tc>
      </w:tr>
      <w:tr w14:paraId="3418EEA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E5338C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9B56A1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La guía emitida por el Instituto de Salud Pública (ISP) establece los requisitos actualizados para el registro sanitario del agua para uso farmacéutico y define nuevas exigencias para los antibióticos de administración oral. </w:t>
            </w:r>
          </w:p>
          <w:p w:rsidR="00AF251E" w:rsidRPr="003A3E55" w:rsidP="003A3E55" w14:paraId="4FB37EEB" w14:textId="77777777">
            <w:pPr>
              <w:spacing w:before="120" w:after="120"/>
            </w:pPr>
            <w:r w:rsidRPr="003A3E55">
              <w:t>El documento busca evitar riesgos de intoxicación, contaminación y fallas en la eficacia del tratamiento originados por una reconstitución inadecuada en el hogar, obligando a que toda nueva solicitud de registro para antibióticos en polvo o granulado de uso oral incluya el solvente necesario como un registro de combinación. Asimismo, clasifica los diferentes tipos de agua y detalla sus estándares de calidad y finalidad de uso según la normativa nacional e internacional.</w:t>
            </w:r>
          </w:p>
        </w:tc>
      </w:tr>
      <w:tr w14:paraId="349BAF1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B88BBD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799DC0E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4C9AA41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39A0E4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5822A7B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488DCD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Código Sanitario</w:t>
            </w:r>
          </w:p>
          <w:p w:rsidR="00AF251E" w:rsidRPr="003A3E55" w:rsidP="005037AE" w14:paraId="518DEBC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N°3, de 2010, del Ministerio de Salud.</w:t>
            </w:r>
          </w:p>
        </w:tc>
      </w:tr>
      <w:tr w14:paraId="0ED2F09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63967AD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EF3A4E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</w:t>
            </w:r>
            <w:r w:rsidRPr="006A63E9">
              <w:t>La medida es obligatoria para toda nueva solicitud de registro de un antibiótico en forma de polvo o granulado de uso oral que se presente ante el ISP a partir de su publicación en el Diario Oficial.</w:t>
            </w:r>
          </w:p>
          <w:p w:rsidR="00AF251E" w:rsidRPr="006A63E9" w:rsidP="009F7158" w14:paraId="040A3C77" w14:textId="77777777">
            <w:pPr>
              <w:spacing w:before="120" w:after="120"/>
            </w:pPr>
            <w:r w:rsidRPr="006A63E9">
              <w:t>Para productos que ya cuentan con registro sanitario se otorga un plazo de cinco (5) años para dar cumplimiento a lo establecido a partir de su publicación en el Diario Oficial.</w:t>
            </w:r>
          </w:p>
          <w:p w:rsidR="00AF251E" w:rsidRPr="006A63E9" w:rsidP="009F7158" w14:paraId="17BE4F17" w14:textId="77777777">
            <w:pPr>
              <w:spacing w:before="120" w:after="120"/>
            </w:pPr>
            <w:r w:rsidRPr="006A63E9">
              <w:t>Para la regularización del rotulado del agua se otorga un plazo de cinco (5) años para la regularización del rotulado, a contar de la aprobación de la guía a partir de su publicación en el Diario Oficial.</w:t>
            </w:r>
          </w:p>
          <w:p w:rsidR="00AF251E" w:rsidRPr="003A3E55" w:rsidP="009F7158" w14:paraId="7AECDF1F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La medida es obligatoria para toda nueva solicitud de registro de un antibiótico en forma de polvo o granulado de uso oral que se presente ante el ISP a partir de su publicación en el Diario Oficial.</w:t>
            </w:r>
          </w:p>
          <w:p w:rsidR="00AF251E" w:rsidRPr="006A63E9" w:rsidP="009F7158" w14:paraId="6C38AA2F" w14:textId="77777777">
            <w:pPr>
              <w:spacing w:after="120"/>
            </w:pPr>
            <w:r w:rsidRPr="006A63E9">
              <w:t>Para productos que ya cuentan con registro sanitario se otorga un plazo de cinco (5) años para dar cumplimiento a lo establecido a partir de su publicación en el Diario Oficial.</w:t>
            </w:r>
          </w:p>
          <w:p w:rsidR="00AF251E" w:rsidRPr="006A63E9" w:rsidP="009F7158" w14:paraId="54E5CC14" w14:textId="77777777">
            <w:pPr>
              <w:spacing w:after="120"/>
            </w:pPr>
            <w:r w:rsidRPr="006A63E9">
              <w:t>Para la regularización del rotulado del agua se otorga un plazo de cinco (5) años para la regularización del rotulado, a contar de la aprobación de la guía a partir de su publicación en el Diario Oficial.</w:t>
            </w:r>
          </w:p>
        </w:tc>
      </w:tr>
      <w:tr w14:paraId="1005F11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D65663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46101C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32750F5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7 de julio de 2026</w:t>
            </w:r>
          </w:p>
          <w:p w:rsidR="005F0B7B" w:rsidRPr="000C0749" w:rsidP="005F0B7B" w14:paraId="4659CC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E0B04B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7BFBE7D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</w:t>
            </w:r>
          </w:p>
          <w:p w:rsidR="00F70F54" w:rsidP="003A3E55" w14:paraId="61FB8046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0874E67C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07BAC97D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23D07AD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4EFF98EF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CAAE9F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F1284C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87E0468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5BBB8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DA863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0037D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0F323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5BFBD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G/TBT/N/CHL/792</w:t>
    </w:r>
    <w:bookmarkEnd w:id="0"/>
  </w:p>
  <w:p w:rsidR="00B531D9" w:rsidRPr="003A3E55" w:rsidP="00B531D9" w14:paraId="27DA2B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7CA0D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D7D3A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8EC854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108D11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A4B619C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242F85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4C2968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816157C" w14:textId="77777777">
          <w:pPr>
            <w:jc w:val="right"/>
            <w:rPr>
              <w:b/>
              <w:szCs w:val="18"/>
            </w:rPr>
          </w:pPr>
        </w:p>
      </w:tc>
    </w:tr>
    <w:tr w14:paraId="16648371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E3EB1B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635BB7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G/TBT/N/CHL/792</w:t>
          </w:r>
          <w:bookmarkEnd w:id="2"/>
        </w:p>
      </w:tc>
    </w:tr>
    <w:tr w14:paraId="320FA51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913520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53EB76C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8 de mayo de 2026</w:t>
          </w:r>
          <w:bookmarkEnd w:id="3"/>
          <w:bookmarkEnd w:id="4"/>
        </w:p>
      </w:tc>
    </w:tr>
    <w:tr w14:paraId="5DC8D164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D3E458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(26-3463)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8FEB092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18ACC1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C15C902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ACD503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4C5135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650615">
    <w:abstractNumId w:val="8"/>
  </w:num>
  <w:num w:numId="2" w16cid:durableId="1201480483">
    <w:abstractNumId w:val="3"/>
  </w:num>
  <w:num w:numId="3" w16cid:durableId="1830246757">
    <w:abstractNumId w:val="2"/>
  </w:num>
  <w:num w:numId="4" w16cid:durableId="1116018649">
    <w:abstractNumId w:val="1"/>
  </w:num>
  <w:num w:numId="5" w16cid:durableId="1961908629">
    <w:abstractNumId w:val="0"/>
  </w:num>
  <w:num w:numId="6" w16cid:durableId="1493638273">
    <w:abstractNumId w:val="12"/>
  </w:num>
  <w:num w:numId="7" w16cid:durableId="1829327677">
    <w:abstractNumId w:val="10"/>
  </w:num>
  <w:num w:numId="8" w16cid:durableId="1851410255">
    <w:abstractNumId w:val="13"/>
  </w:num>
  <w:num w:numId="9" w16cid:durableId="512765672">
    <w:abstractNumId w:val="9"/>
  </w:num>
  <w:num w:numId="10" w16cid:durableId="591863921">
    <w:abstractNumId w:val="7"/>
  </w:num>
  <w:num w:numId="11" w16cid:durableId="502279035">
    <w:abstractNumId w:val="6"/>
  </w:num>
  <w:num w:numId="12" w16cid:durableId="281304155">
    <w:abstractNumId w:val="5"/>
  </w:num>
  <w:num w:numId="13" w16cid:durableId="749690657">
    <w:abstractNumId w:val="4"/>
  </w:num>
  <w:num w:numId="14" w16cid:durableId="1034846035">
    <w:abstractNumId w:val="11"/>
  </w:num>
  <w:num w:numId="15" w16cid:durableId="559555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116594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81119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155A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1BD9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E7975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2445_00_s.pdf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9D44FC3-3520-41A5-BF3A-3209B2B41DB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2026-05-08T13:35:00Z</dcterms:created>
  <dcterms:modified xsi:type="dcterms:W3CDTF">2026-05-08T13:35:00Z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