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308DA8A" w14:textId="77777777">
      <w:pPr>
        <w:pStyle w:val="Title"/>
      </w:pPr>
      <w:r w:rsidRPr="002F663C">
        <w:t>NOTIFICATION</w:t>
      </w:r>
    </w:p>
    <w:p w:rsidR="002F663C" w:rsidRPr="002F663C" w:rsidP="00DD3DD7" w14:paraId="25B4A5F8" w14:textId="77777777">
      <w:pPr>
        <w:pStyle w:val="Title3"/>
      </w:pPr>
      <w:r w:rsidRPr="002F663C">
        <w:t>Addendum</w:t>
      </w:r>
    </w:p>
    <w:p w:rsidR="002F663C" w:rsidP="001E2E4A" w14:paraId="1E4FD9A9"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6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785DF591" w14:textId="77777777">
      <w:pPr>
        <w:rPr>
          <w:rFonts w:eastAsia="Calibri" w:cs="Times New Roman"/>
        </w:rPr>
      </w:pPr>
    </w:p>
    <w:p w:rsidR="002F663C" w:rsidRPr="002F663C" w:rsidP="002F663C" w14:paraId="47A2BF53" w14:textId="77777777">
      <w:pPr>
        <w:jc w:val="center"/>
        <w:rPr>
          <w:rFonts w:eastAsia="Calibri" w:cs="Times New Roman"/>
          <w:b/>
        </w:rPr>
      </w:pPr>
      <w:r w:rsidRPr="002F663C">
        <w:rPr>
          <w:rFonts w:eastAsia="Calibri" w:cs="Times New Roman"/>
          <w:b/>
        </w:rPr>
        <w:t>_______________</w:t>
      </w:r>
    </w:p>
    <w:p w:rsidR="002F663C" w:rsidP="002F663C" w14:paraId="4992B289" w14:textId="77777777">
      <w:pPr>
        <w:rPr>
          <w:rFonts w:eastAsia="Calibri" w:cs="Times New Roman"/>
        </w:rPr>
      </w:pPr>
    </w:p>
    <w:p w:rsidR="00C14444" w:rsidRPr="002F663C" w:rsidP="002F663C" w14:paraId="1BD81461" w14:textId="77777777">
      <w:pPr>
        <w:rPr>
          <w:rFonts w:eastAsia="Calibri" w:cs="Times New Roman"/>
        </w:rPr>
      </w:pPr>
    </w:p>
    <w:p w:rsidR="002F663C" w:rsidRPr="002F663C" w:rsidP="002F663C" w14:paraId="4B92823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Revising Machine Gun Definition in Response to Supreme Court Decision</w:t>
      </w:r>
    </w:p>
    <w:p w:rsidR="002F663C" w:rsidRPr="002F663C" w:rsidP="002F663C" w14:paraId="4E9A3B9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163FB3B"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0DEBFD60"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6684D34" w14:textId="77777777" w:rsidTr="00E9471B">
        <w:tblPrEx>
          <w:tblW w:w="9049" w:type="dxa"/>
          <w:tblLayout w:type="fixed"/>
          <w:tblLook w:val="04A0"/>
        </w:tblPrEx>
        <w:tc>
          <w:tcPr>
            <w:tcW w:w="851" w:type="dxa"/>
          </w:tcPr>
          <w:p w:rsidR="002F663C" w:rsidRPr="00711F9C" w:rsidP="00C14444" w14:paraId="63A9D87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5E2BC8E"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E5CCF8A" w14:textId="77777777" w:rsidTr="00E9471B">
        <w:tblPrEx>
          <w:tblW w:w="9049" w:type="dxa"/>
          <w:tblLayout w:type="fixed"/>
          <w:tblLook w:val="04A0"/>
        </w:tblPrEx>
        <w:tc>
          <w:tcPr>
            <w:tcW w:w="851" w:type="dxa"/>
          </w:tcPr>
          <w:p w:rsidR="002F663C" w:rsidRPr="00711F9C" w:rsidP="00C14444" w14:paraId="4A66B7E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1A9137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DB48578" w14:textId="77777777" w:rsidTr="00E9471B">
        <w:tblPrEx>
          <w:tblW w:w="9049" w:type="dxa"/>
          <w:tblLayout w:type="fixed"/>
          <w:tblLook w:val="04A0"/>
        </w:tblPrEx>
        <w:tc>
          <w:tcPr>
            <w:tcW w:w="851" w:type="dxa"/>
          </w:tcPr>
          <w:p w:rsidR="002F663C" w:rsidRPr="00711F9C" w:rsidP="00C14444" w14:paraId="3992BF0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DB6ED25"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6 May 2026</w:t>
            </w:r>
          </w:p>
        </w:tc>
      </w:tr>
      <w:tr w14:paraId="7F57C636" w14:textId="77777777" w:rsidTr="00E9471B">
        <w:tblPrEx>
          <w:tblW w:w="9049" w:type="dxa"/>
          <w:tblLayout w:type="fixed"/>
          <w:tblLook w:val="04A0"/>
        </w:tblPrEx>
        <w:tc>
          <w:tcPr>
            <w:tcW w:w="851" w:type="dxa"/>
          </w:tcPr>
          <w:p w:rsidR="002F663C" w:rsidRPr="00711F9C" w:rsidP="00C14444" w14:paraId="1171556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3E6910F"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6 May 2026</w:t>
            </w:r>
          </w:p>
        </w:tc>
      </w:tr>
      <w:tr w14:paraId="2DAA89A3" w14:textId="77777777" w:rsidTr="00E9471B">
        <w:tblPrEx>
          <w:tblW w:w="9049" w:type="dxa"/>
          <w:tblLayout w:type="fixed"/>
          <w:tblLook w:val="04A0"/>
        </w:tblPrEx>
        <w:tc>
          <w:tcPr>
            <w:tcW w:w="851" w:type="dxa"/>
          </w:tcPr>
          <w:p w:rsidR="002F663C" w:rsidRPr="00711F9C" w:rsidP="00C14444" w14:paraId="655BF6A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413752A"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9827AB7"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https://members.wto.org/crnattachments/2026/TBT/USA/final_measure/26_02414_00_e.pdf</w:t>
              </w:r>
            </w:hyperlink>
          </w:p>
        </w:tc>
      </w:tr>
      <w:tr w14:paraId="5BFEDA66" w14:textId="77777777" w:rsidTr="00E9471B">
        <w:tblPrEx>
          <w:tblW w:w="9049" w:type="dxa"/>
          <w:tblLayout w:type="fixed"/>
          <w:tblLook w:val="04A0"/>
        </w:tblPrEx>
        <w:tc>
          <w:tcPr>
            <w:tcW w:w="851" w:type="dxa"/>
          </w:tcPr>
          <w:p w:rsidR="002F663C" w:rsidRPr="00711F9C" w:rsidP="00C14444" w14:paraId="026EECD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47F9CA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EAADD76"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BBEED45" w14:textId="77777777" w:rsidTr="00E9471B">
        <w:tblPrEx>
          <w:tblW w:w="9049" w:type="dxa"/>
          <w:tblLayout w:type="fixed"/>
          <w:tblLook w:val="04A0"/>
        </w:tblPrEx>
        <w:tc>
          <w:tcPr>
            <w:tcW w:w="851" w:type="dxa"/>
          </w:tcPr>
          <w:p w:rsidR="002F663C" w:rsidRPr="00711F9C" w:rsidP="00C14444" w14:paraId="5B0D4F6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8ACD04E"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8C013A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3289768" w14:textId="77777777" w:rsidTr="00E9471B">
        <w:tblPrEx>
          <w:tblW w:w="9049" w:type="dxa"/>
          <w:tblLayout w:type="fixed"/>
          <w:tblLook w:val="04A0"/>
        </w:tblPrEx>
        <w:tc>
          <w:tcPr>
            <w:tcW w:w="851" w:type="dxa"/>
          </w:tcPr>
          <w:p w:rsidR="002F663C" w:rsidRPr="00711F9C" w:rsidP="00C14444" w14:paraId="76A156B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688A4D7"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263EC1FE" w14:textId="77777777" w:rsidTr="00E9471B">
        <w:tblPrEx>
          <w:tblW w:w="9049" w:type="dxa"/>
          <w:tblLayout w:type="fixed"/>
          <w:tblLook w:val="04A0"/>
        </w:tblPrEx>
        <w:tc>
          <w:tcPr>
            <w:tcW w:w="851" w:type="dxa"/>
            <w:tcBorders>
              <w:bottom w:val="double" w:sz="4" w:space="0" w:color="auto"/>
            </w:tcBorders>
          </w:tcPr>
          <w:p w:rsidR="002F663C" w:rsidRPr="00711F9C" w:rsidP="00C14444" w14:paraId="27455FA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B744318"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0A4F1AF" w14:textId="77777777">
      <w:pPr>
        <w:jc w:val="left"/>
        <w:rPr>
          <w:rFonts w:eastAsia="Calibri" w:cs="Times New Roman"/>
          <w:highlight w:val="yellow"/>
        </w:rPr>
      </w:pPr>
    </w:p>
    <w:p w:rsidR="003971FF" w:rsidRPr="007F6EA2" w:rsidP="00B16ACF" w14:paraId="62D89A31"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Bureau of Alcohol, Tobacco, Firearms, and Explosives (''ATF'') is amending Department of Justice (''Department'') regulations in response to the Supreme Court's decision in Garland v. Cargill. The Supreme Court held that ATF exceeded its statutory authority in its December 2018 </w:t>
      </w:r>
      <w:hyperlink r:id="rId8" w:history="1">
        <w:r w:rsidRPr="002F663C">
          <w:rPr>
            <w:rFonts w:eastAsia="Calibri" w:cs="Times New Roman"/>
            <w:color w:val="0000FF"/>
            <w:szCs w:val="18"/>
            <w:u w:val="single"/>
          </w:rPr>
          <w:t>final rule</w:t>
        </w:r>
      </w:hyperlink>
      <w:r w:rsidRPr="002F663C">
        <w:rPr>
          <w:rFonts w:eastAsia="Calibri" w:cs="Times New Roman"/>
          <w:szCs w:val="18"/>
        </w:rPr>
        <w:t xml:space="preserve"> titled ''Bump-Stock-Type Devices'' (notified as </w:t>
      </w:r>
      <w:hyperlink r:id="rId9" w:history="1">
        <w:r w:rsidRPr="002F663C">
          <w:rPr>
            <w:rFonts w:eastAsia="Calibri" w:cs="Times New Roman"/>
            <w:color w:val="0000FF"/>
            <w:szCs w:val="18"/>
            <w:u w:val="single"/>
          </w:rPr>
          <w:t>G/TBT/N/USA/1353/Add.1</w:t>
        </w:r>
      </w:hyperlink>
      <w:r w:rsidRPr="002F663C">
        <w:rPr>
          <w:rFonts w:eastAsia="Calibri" w:cs="Times New Roman"/>
          <w:szCs w:val="18"/>
        </w:rPr>
        <w:t>) by classifying a bump stock as a ''machine gun'' because a semi-automatic rifle equipped with a non-mechanical bump-stock-type device is not a ''machine gun'' under the National Firearms Act. Accordingly, ATF is removing from the three regulatory definitions of ''machine gun'' the two sentences that incorporated bump stocks into those definitions.</w:t>
      </w:r>
    </w:p>
    <w:p w:rsidR="006A03E5" w:rsidRPr="002F663C" w:rsidP="00B16ACF" w14:paraId="2AA03EEA" w14:textId="77777777">
      <w:pPr>
        <w:spacing w:before="120" w:after="120"/>
        <w:rPr>
          <w:rFonts w:eastAsia="Calibri" w:cs="Times New Roman"/>
          <w:szCs w:val="18"/>
        </w:rPr>
      </w:pPr>
      <w:r w:rsidRPr="002F663C">
        <w:rPr>
          <w:rFonts w:eastAsia="Calibri" w:cs="Times New Roman"/>
          <w:szCs w:val="18"/>
        </w:rPr>
        <w:t>This final rule is effective on 6 May 2026.</w:t>
      </w:r>
    </w:p>
    <w:p w:rsidR="006A03E5" w:rsidRPr="002F663C" w:rsidP="00B16ACF" w14:paraId="609A6D2C" w14:textId="77777777">
      <w:pPr>
        <w:spacing w:before="120" w:after="120"/>
        <w:rPr>
          <w:rFonts w:eastAsia="Calibri" w:cs="Times New Roman"/>
          <w:szCs w:val="18"/>
        </w:rPr>
      </w:pPr>
      <w:r w:rsidRPr="002F663C">
        <w:rPr>
          <w:rFonts w:eastAsia="Calibri" w:cs="Times New Roman"/>
          <w:szCs w:val="18"/>
        </w:rPr>
        <w:t xml:space="preserve">91 Federal Register (FR) 24348, 6 May 2026; </w:t>
      </w:r>
      <w:hyperlink r:id="rId10" w:history="1">
        <w:r w:rsidRPr="002F663C">
          <w:rPr>
            <w:rFonts w:eastAsia="Calibri" w:cs="Times New Roman"/>
            <w:color w:val="0000FF"/>
            <w:szCs w:val="18"/>
            <w:u w:val="single"/>
          </w:rPr>
          <w:t>Title 27</w:t>
        </w:r>
      </w:hyperlink>
      <w:r w:rsidRPr="002F663C">
        <w:rPr>
          <w:rFonts w:eastAsia="Calibri" w:cs="Times New Roman"/>
          <w:szCs w:val="18"/>
        </w:rPr>
        <w:t xml:space="preserve"> Code of Federal Regulations (CFR) Parts </w:t>
      </w:r>
      <w:hyperlink r:id="rId11" w:history="1">
        <w:r w:rsidRPr="002F663C">
          <w:rPr>
            <w:rFonts w:eastAsia="Calibri" w:cs="Times New Roman"/>
            <w:color w:val="0000FF"/>
            <w:szCs w:val="18"/>
            <w:u w:val="single"/>
          </w:rPr>
          <w:t>447</w:t>
        </w:r>
      </w:hyperlink>
      <w:r w:rsidRPr="002F663C">
        <w:rPr>
          <w:rFonts w:eastAsia="Calibri" w:cs="Times New Roman"/>
          <w:szCs w:val="18"/>
        </w:rPr>
        <w:t xml:space="preserve">, </w:t>
      </w:r>
      <w:hyperlink r:id="rId12" w:history="1">
        <w:r w:rsidRPr="002F663C">
          <w:rPr>
            <w:rFonts w:eastAsia="Calibri" w:cs="Times New Roman"/>
            <w:color w:val="0000FF"/>
            <w:szCs w:val="18"/>
            <w:u w:val="single"/>
          </w:rPr>
          <w:t>478</w:t>
        </w:r>
      </w:hyperlink>
      <w:r w:rsidRPr="002F663C">
        <w:rPr>
          <w:rFonts w:eastAsia="Calibri" w:cs="Times New Roman"/>
          <w:szCs w:val="18"/>
        </w:rPr>
        <w:t xml:space="preserve">, and </w:t>
      </w:r>
      <w:hyperlink r:id="rId13" w:history="1">
        <w:r w:rsidRPr="002F663C">
          <w:rPr>
            <w:rFonts w:eastAsia="Calibri" w:cs="Times New Roman"/>
            <w:color w:val="0000FF"/>
            <w:szCs w:val="18"/>
            <w:u w:val="single"/>
          </w:rPr>
          <w:t>479</w:t>
        </w:r>
      </w:hyperlink>
      <w:r w:rsidRPr="002F663C">
        <w:rPr>
          <w:rFonts w:eastAsia="Calibri" w:cs="Times New Roman"/>
          <w:szCs w:val="18"/>
        </w:rPr>
        <w:t>:</w:t>
      </w:r>
    </w:p>
    <w:p w:rsidR="006A03E5" w:rsidRPr="002F663C" w:rsidP="00B16ACF" w14:paraId="1F5B2CD8"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https://www.govinfo.gov/content/pkg/FR-2026-05-06/html/2026-08926.htm</w:t>
        </w:r>
      </w:hyperlink>
    </w:p>
    <w:p w:rsidR="006A03E5" w:rsidRPr="002F663C" w:rsidP="00B16ACF" w14:paraId="07D4179D" w14:textId="77777777">
      <w:pPr>
        <w:spacing w:before="120" w:after="120"/>
        <w:rPr>
          <w:rFonts w:eastAsia="Calibri" w:cs="Times New Roman"/>
          <w:szCs w:val="18"/>
        </w:rPr>
      </w:pPr>
      <w:hyperlink r:id="rId15" w:history="1">
        <w:r w:rsidRPr="002F663C">
          <w:rPr>
            <w:rFonts w:eastAsia="Calibri" w:cs="Times New Roman"/>
            <w:color w:val="0000FF"/>
            <w:szCs w:val="18"/>
            <w:u w:val="single"/>
          </w:rPr>
          <w:t>https://www.govinfo.gov/content/pkg/FR-2026-05-06/pdf/2026-08926.pdf</w:t>
        </w:r>
      </w:hyperlink>
    </w:p>
    <w:p w:rsidR="006A03E5" w:rsidRPr="002F663C" w:rsidP="00B16ACF" w14:paraId="6E9A9DE6" w14:textId="77777777">
      <w:pPr>
        <w:spacing w:before="120" w:after="120"/>
        <w:rPr>
          <w:rFonts w:eastAsia="Calibri" w:cs="Times New Roman"/>
          <w:szCs w:val="18"/>
        </w:rPr>
      </w:pPr>
      <w:r w:rsidRPr="002F663C">
        <w:rPr>
          <w:rFonts w:eastAsia="Calibri" w:cs="Times New Roman"/>
          <w:szCs w:val="18"/>
        </w:rPr>
        <w:t xml:space="preserve">This final rule is identified by Docket Number ATF No. 2024R-01F. The Docket Folder is available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A03E5" w:rsidRPr="002F663C" w:rsidP="00B16ACF" w14:paraId="3CA885C7" w14:textId="77777777">
      <w:pPr>
        <w:spacing w:before="120" w:after="120"/>
        <w:rPr>
          <w:rFonts w:eastAsia="Calibri" w:cs="Times New Roman"/>
          <w:szCs w:val="18"/>
        </w:rPr>
      </w:pPr>
      <w:r w:rsidRPr="002F663C">
        <w:rPr>
          <w:rFonts w:eastAsia="Calibri" w:cs="Times New Roman"/>
          <w:szCs w:val="18"/>
        </w:rPr>
        <w:t xml:space="preserve">The advanced notice of proposed rule notified as </w:t>
      </w:r>
      <w:hyperlink r:id="rId17" w:history="1">
        <w:r w:rsidRPr="002F663C">
          <w:rPr>
            <w:rFonts w:eastAsia="Calibri" w:cs="Times New Roman"/>
            <w:color w:val="0000FF"/>
            <w:szCs w:val="18"/>
            <w:u w:val="single"/>
          </w:rPr>
          <w:t>G/TBT/N/USA/1328</w:t>
        </w:r>
      </w:hyperlink>
      <w:r w:rsidRPr="002F663C">
        <w:rPr>
          <w:rFonts w:eastAsia="Calibri" w:cs="Times New Roman"/>
          <w:szCs w:val="18"/>
        </w:rPr>
        <w:t xml:space="preserve"> is identified by Docket Number ATF-2018-0001. The Docket Folder is available on Regulations.gov at </w:t>
      </w:r>
      <w:hyperlink r:id="rId18" w:history="1">
        <w:r w:rsidRPr="002F663C">
          <w:rPr>
            <w:rFonts w:eastAsia="Calibri" w:cs="Times New Roman"/>
            <w:color w:val="0000FF"/>
            <w:szCs w:val="18"/>
            <w:u w:val="single"/>
          </w:rPr>
          <w:t>https://www.regulations.gov/docket/ATF-2018-0001/document</w:t>
        </w:r>
      </w:hyperlink>
      <w:r w:rsidRPr="002F663C">
        <w:rPr>
          <w:rFonts w:eastAsia="Calibri" w:cs="Times New Roman"/>
          <w:szCs w:val="18"/>
        </w:rPr>
        <w:t xml:space="preserve"> and provides access to primary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A03E5" w:rsidRPr="002F663C" w:rsidP="00B16ACF" w14:paraId="2820FBA3" w14:textId="77777777">
      <w:pPr>
        <w:spacing w:before="120" w:after="120"/>
        <w:rPr>
          <w:rFonts w:eastAsia="Calibri" w:cs="Times New Roman"/>
          <w:szCs w:val="18"/>
        </w:rPr>
      </w:pPr>
      <w:r w:rsidRPr="002F663C">
        <w:rPr>
          <w:rFonts w:eastAsia="Calibri" w:cs="Times New Roman"/>
          <w:szCs w:val="18"/>
        </w:rPr>
        <w:t xml:space="preserve">Related documents notified under the symbol </w:t>
      </w:r>
      <w:hyperlink r:id="rId19" w:history="1">
        <w:r w:rsidRPr="002F663C">
          <w:rPr>
            <w:rFonts w:eastAsia="Calibri" w:cs="Times New Roman"/>
            <w:color w:val="0000FF"/>
            <w:szCs w:val="18"/>
            <w:u w:val="single"/>
          </w:rPr>
          <w:t>G/TBT/N/USA/1353</w:t>
        </w:r>
      </w:hyperlink>
      <w:r w:rsidRPr="002F663C">
        <w:rPr>
          <w:rFonts w:eastAsia="Calibri" w:cs="Times New Roman"/>
          <w:szCs w:val="18"/>
        </w:rPr>
        <w:t xml:space="preserve"> are identified by Docket Number </w:t>
      </w:r>
      <w:hyperlink r:id="rId20" w:history="1">
        <w:r w:rsidRPr="002F663C">
          <w:rPr>
            <w:rFonts w:eastAsia="Calibri" w:cs="Times New Roman"/>
            <w:color w:val="0000FF"/>
            <w:szCs w:val="18"/>
            <w:u w:val="single"/>
          </w:rPr>
          <w:t>ATF-2018-0002</w:t>
        </w:r>
      </w:hyperlink>
      <w:r w:rsidRPr="002F663C">
        <w:rPr>
          <w:rFonts w:eastAsia="Calibri" w:cs="Times New Roman"/>
          <w:szCs w:val="18"/>
        </w:rPr>
        <w:t>.</w:t>
      </w:r>
    </w:p>
    <w:p w:rsidR="006C5A96" w:rsidP="006C5A96" w14:paraId="1462559D" w14:textId="77777777">
      <w:pPr>
        <w:jc w:val="center"/>
        <w:rPr>
          <w:b/>
        </w:rPr>
      </w:pPr>
      <w:r w:rsidRPr="003971FF">
        <w:rPr>
          <w:b/>
        </w:rPr>
        <w:t>__________</w:t>
      </w:r>
    </w:p>
    <w:p w:rsidR="004D4D19" w:rsidP="007F38C2" w14:paraId="1B7B20C2" w14:textId="77777777">
      <w:pPr>
        <w:jc w:val="center"/>
        <w:rPr>
          <w:b/>
        </w:rPr>
      </w:pPr>
    </w:p>
    <w:p w:rsidR="00A1565D" w:rsidP="003971FF" w14:paraId="5DA47935" w14:textId="77777777">
      <w:pPr>
        <w:jc w:val="center"/>
        <w:rPr>
          <w:b/>
        </w:rPr>
      </w:pPr>
    </w:p>
    <w:sectPr w:rsidSect="006C5A96">
      <w:headerReference w:type="even" r:id="rId21"/>
      <w:headerReference w:type="default" r:id="rId22"/>
      <w:footerReference w:type="even" r:id="rId23"/>
      <w:footerReference w:type="default" r:id="rId24"/>
      <w:headerReference w:type="first" r:id="rId25"/>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BBE793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A1A3AB8"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1C25D7A" w14:textId="77777777">
      <w:r>
        <w:separator/>
      </w:r>
    </w:p>
  </w:footnote>
  <w:footnote w:type="continuationSeparator" w:id="1">
    <w:p w:rsidR="004D3A6A" w:rsidP="00ED54E0" w14:paraId="37EEB2DA" w14:textId="77777777">
      <w:r>
        <w:continuationSeparator/>
      </w:r>
    </w:p>
  </w:footnote>
  <w:footnote w:id="2">
    <w:p w:rsidR="007F6EA2" w14:paraId="7B2AF33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3EC9110"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7585DB1E" w14:textId="77777777">
    <w:pPr>
      <w:pStyle w:val="Header"/>
      <w:pBdr>
        <w:bottom w:val="single" w:sz="4" w:space="1" w:color="auto"/>
      </w:pBdr>
      <w:tabs>
        <w:tab w:val="clear" w:pos="4513"/>
        <w:tab w:val="clear" w:pos="9027"/>
      </w:tabs>
      <w:jc w:val="center"/>
    </w:pPr>
  </w:p>
  <w:p w:rsidR="00DD3DD7" w:rsidRPr="00DD3DD7" w:rsidP="00DD3DD7" w14:paraId="2B33F29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2EEDC9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63CD7B1" w14:textId="77777777">
    <w:pPr>
      <w:pStyle w:val="Header"/>
      <w:pBdr>
        <w:bottom w:val="single" w:sz="4" w:space="1" w:color="auto"/>
      </w:pBdr>
      <w:tabs>
        <w:tab w:val="clear" w:pos="4513"/>
        <w:tab w:val="clear" w:pos="9027"/>
      </w:tabs>
      <w:jc w:val="center"/>
    </w:pPr>
    <w:bookmarkStart w:id="3" w:name="spsSymbolHeader"/>
    <w:r w:rsidRPr="00DD3DD7">
      <w:t>G/TBT/N/USA/1328/Add.1</w:t>
    </w:r>
    <w:bookmarkEnd w:id="3"/>
  </w:p>
  <w:p w:rsidR="00DD3DD7" w:rsidRPr="00DD3DD7" w:rsidP="00DD3DD7" w14:paraId="172B9E82" w14:textId="77777777">
    <w:pPr>
      <w:pStyle w:val="Header"/>
      <w:pBdr>
        <w:bottom w:val="single" w:sz="4" w:space="1" w:color="auto"/>
      </w:pBdr>
      <w:tabs>
        <w:tab w:val="clear" w:pos="4513"/>
        <w:tab w:val="clear" w:pos="9027"/>
      </w:tabs>
      <w:jc w:val="center"/>
    </w:pPr>
  </w:p>
  <w:p w:rsidR="00DD3DD7" w:rsidRPr="00DD3DD7" w:rsidP="00DD3DD7" w14:paraId="7F6CA8C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693EC6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4C8600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98FD986"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E98BE47" w14:textId="77777777">
          <w:pPr>
            <w:jc w:val="right"/>
            <w:rPr>
              <w:b/>
              <w:color w:val="FF0000"/>
              <w:szCs w:val="16"/>
            </w:rPr>
          </w:pPr>
          <w:r>
            <w:rPr>
              <w:b/>
              <w:color w:val="FF0000"/>
              <w:szCs w:val="16"/>
            </w:rPr>
            <w:t xml:space="preserve"> </w:t>
          </w:r>
        </w:p>
      </w:tc>
    </w:tr>
    <w:tr w14:paraId="5CDB8D73"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6194CF4"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3AA0700" w14:textId="77777777">
          <w:pPr>
            <w:jc w:val="right"/>
            <w:rPr>
              <w:b/>
              <w:szCs w:val="16"/>
            </w:rPr>
          </w:pPr>
        </w:p>
      </w:tc>
    </w:tr>
    <w:tr w14:paraId="6F386D6C"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DCE57C1"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009854B" w14:textId="77777777">
          <w:pPr>
            <w:jc w:val="right"/>
            <w:rPr>
              <w:rFonts w:eastAsia="Calibri" w:cs="Times New Roman"/>
              <w:b/>
              <w:szCs w:val="16"/>
            </w:rPr>
          </w:pPr>
          <w:bookmarkStart w:id="4" w:name="bmkSymbols"/>
          <w:r w:rsidRPr="002F663C">
            <w:rPr>
              <w:rFonts w:eastAsia="Calibri" w:cs="Times New Roman"/>
              <w:b/>
              <w:szCs w:val="16"/>
            </w:rPr>
            <w:t>G/TBT/N/USA/1328/Add.1</w:t>
          </w:r>
          <w:bookmarkEnd w:id="4"/>
        </w:p>
        <w:p w:rsidR="00C14444" w:rsidRPr="00C14444" w:rsidP="00C14444" w14:paraId="284B6397" w14:textId="77777777">
          <w:pPr>
            <w:jc w:val="center"/>
            <w:rPr>
              <w:szCs w:val="16"/>
            </w:rPr>
          </w:pPr>
        </w:p>
      </w:tc>
    </w:tr>
    <w:tr w14:paraId="6CD58863"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2CAB2B5" w14:textId="77777777"/>
      </w:tc>
      <w:tc>
        <w:tcPr>
          <w:tcW w:w="5448" w:type="dxa"/>
          <w:gridSpan w:val="2"/>
          <w:shd w:val="clear" w:color="auto" w:fill="FFFFFF"/>
          <w:tcMar>
            <w:left w:w="108" w:type="dxa"/>
            <w:right w:w="108" w:type="dxa"/>
          </w:tcMar>
          <w:vAlign w:val="center"/>
        </w:tcPr>
        <w:p w:rsidR="00ED54E0" w:rsidRPr="00182B84" w:rsidP="00425DC5" w14:paraId="1536A7F1" w14:textId="77777777">
          <w:pPr>
            <w:jc w:val="right"/>
            <w:rPr>
              <w:szCs w:val="16"/>
            </w:rPr>
          </w:pPr>
          <w:bookmarkStart w:id="5" w:name="bmkDate"/>
          <w:r w:rsidRPr="00182B84">
            <w:rPr>
              <w:szCs w:val="16"/>
            </w:rPr>
            <w:t>7 May 2026</w:t>
          </w:r>
          <w:bookmarkEnd w:id="5"/>
        </w:p>
      </w:tc>
    </w:tr>
    <w:tr w14:paraId="6D35B110"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6DE34E0" w14:textId="77777777">
          <w:pPr>
            <w:jc w:val="left"/>
            <w:rPr>
              <w:b/>
            </w:rPr>
          </w:pPr>
          <w:bookmarkStart w:id="6" w:name="bmkSerial"/>
          <w:r>
            <w:rPr>
              <w:rFonts w:ascii="Verdana" w:eastAsia="Verdana" w:hAnsi="Verdana" w:cs="Verdana"/>
              <w:b w:val="0"/>
              <w:color w:val="FF0000"/>
              <w:sz w:val="18"/>
            </w:rPr>
            <w:t>(26-3397)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59F596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201865A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FD69B30"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70C5B54"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300A41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14069060">
    <w:abstractNumId w:val="9"/>
  </w:num>
  <w:num w:numId="2" w16cid:durableId="334576812">
    <w:abstractNumId w:val="7"/>
  </w:num>
  <w:num w:numId="3" w16cid:durableId="1183393689">
    <w:abstractNumId w:val="6"/>
  </w:num>
  <w:num w:numId="4" w16cid:durableId="555512842">
    <w:abstractNumId w:val="5"/>
  </w:num>
  <w:num w:numId="5" w16cid:durableId="713971344">
    <w:abstractNumId w:val="4"/>
  </w:num>
  <w:num w:numId="6" w16cid:durableId="1085540232">
    <w:abstractNumId w:val="12"/>
  </w:num>
  <w:num w:numId="7" w16cid:durableId="90855831">
    <w:abstractNumId w:val="11"/>
  </w:num>
  <w:num w:numId="8" w16cid:durableId="1270502776">
    <w:abstractNumId w:val="10"/>
  </w:num>
  <w:num w:numId="9" w16cid:durableId="18193456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1470937">
    <w:abstractNumId w:val="13"/>
  </w:num>
  <w:num w:numId="11" w16cid:durableId="1922833437">
    <w:abstractNumId w:val="8"/>
  </w:num>
  <w:num w:numId="12" w16cid:durableId="1647054188">
    <w:abstractNumId w:val="3"/>
  </w:num>
  <w:num w:numId="13" w16cid:durableId="785197670">
    <w:abstractNumId w:val="2"/>
  </w:num>
  <w:num w:numId="14" w16cid:durableId="266623957">
    <w:abstractNumId w:val="1"/>
  </w:num>
  <w:num w:numId="15" w16cid:durableId="270209394">
    <w:abstractNumId w:val="0"/>
  </w:num>
  <w:num w:numId="16" w16cid:durableId="159220431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191A"/>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A03E5"/>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D5A0B"/>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DEA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27" TargetMode="External" /><Relationship Id="rId11" Type="http://schemas.openxmlformats.org/officeDocument/2006/relationships/hyperlink" Target="https://www.ecfr.gov/current/title-27/chapter-II/subchapter-B/part-447" TargetMode="External" /><Relationship Id="rId12" Type="http://schemas.openxmlformats.org/officeDocument/2006/relationships/hyperlink" Target="https://www.ecfr.gov/current/title-27/chapter-II/subchapter-B/part-478" TargetMode="External" /><Relationship Id="rId13" Type="http://schemas.openxmlformats.org/officeDocument/2006/relationships/hyperlink" Target="https://www.ecfr.gov/current/title-27/chapter-II/subchapter-B/part-479" TargetMode="External" /><Relationship Id="rId14" Type="http://schemas.openxmlformats.org/officeDocument/2006/relationships/hyperlink" Target="https://www.govinfo.gov/content/pkg/FR-2026-05-06/html/2026-08926.htm" TargetMode="External" /><Relationship Id="rId15" Type="http://schemas.openxmlformats.org/officeDocument/2006/relationships/hyperlink" Target="https://www.govinfo.gov/content/pkg/FR-2026-05-06/pdf/2026-08926.pdf" TargetMode="External" /><Relationship Id="rId16" Type="http://schemas.openxmlformats.org/officeDocument/2006/relationships/hyperlink" Target="http://www.regulations.gov/" TargetMode="External" /><Relationship Id="rId17" Type="http://schemas.openxmlformats.org/officeDocument/2006/relationships/hyperlink" Target="https://eping.wto.org/en/Search?domainIds=1&amp;documentSymbol=usa%2F1328" TargetMode="External" /><Relationship Id="rId18" Type="http://schemas.openxmlformats.org/officeDocument/2006/relationships/hyperlink" Target="https://www.regulations.gov/docket/ATF-2018-0001/document" TargetMode="External" /><Relationship Id="rId19" Type="http://schemas.openxmlformats.org/officeDocument/2006/relationships/hyperlink" Target="https://eping.wto.org/en/Search?domainIds=1&amp;documentSymbol=usa%2F1353" TargetMode="External" /><Relationship Id="rId2" Type="http://schemas.openxmlformats.org/officeDocument/2006/relationships/settings" Target="settings.xml" /><Relationship Id="rId20" Type="http://schemas.openxmlformats.org/officeDocument/2006/relationships/hyperlink" Target="https://www.regulations.gov/docket/ATF-2018-0002/document"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414_00_e.pdf" TargetMode="External" /><Relationship Id="rId8" Type="http://schemas.openxmlformats.org/officeDocument/2006/relationships/hyperlink" Target="https://www.govinfo.gov/content/pkg/FR-2018-12-26/pdf/2018-27763.pdf" TargetMode="External" /><Relationship Id="rId9" Type="http://schemas.openxmlformats.org/officeDocument/2006/relationships/hyperlink" Target="https://eping.wto.org/en/Search?viewData=G/TBT/N/USA/1353/Add.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04E749B1-4B43-4201-85E1-F2629E2B016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559</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2026-05-07T08:17:00Z</dcterms:created>
  <dcterms:modified xsi:type="dcterms:W3CDTF">2026-05-07T08:17:00Z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