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2FC539C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5203C91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0C090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2A0508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661E7B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502E725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2B6A287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E93404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B3D197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206B15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5CE189F" w14:textId="77777777">
            <w:pPr>
              <w:spacing w:after="120"/>
            </w:pPr>
            <w:r w:rsidRPr="003A3E55">
              <w:t>Secretaría de Salud - Comité Consultivo Nacional de Normalización de Salud Pública.</w:t>
            </w:r>
          </w:p>
        </w:tc>
      </w:tr>
      <w:tr w14:paraId="11E882A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216170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47E073D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BDA43C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FE858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2F9E6D77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Es de observancia obligatoria, en todo el territorio nacional, y establece los lineamientos para la vigilancia epidemiológica, prevención y control de las Infecciones Asociadas a la Atención de la Salud en todos los Establecimientos para la Atención Medica que forman parte del Sistema Nacional de Salud.</w:t>
            </w:r>
          </w:p>
        </w:tc>
      </w:tr>
      <w:tr w14:paraId="7711A07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F67D3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D2CD950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PROY-NOM-045-SSA-2026, Para la vigilancia epidemiológica, prevención y control de las infecciones asociadas a la atención de la salud.</w:t>
            </w:r>
          </w:p>
          <w:p w:rsidR="00145C22" w:rsidRPr="00F70F54" w:rsidP="003A3E55" w14:paraId="7C99B84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03ED94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https://members.wto.org/crnattachments/2026/TBT/MEX/26_02217_00_s.pdf</w:t>
              </w:r>
            </w:hyperlink>
          </w:p>
          <w:p w:rsidR="00F70F54" w:rsidP="003A3E55" w14:paraId="76215047" w14:textId="77777777">
            <w:pPr>
              <w:spacing w:after="120"/>
              <w:rPr>
                <w:bCs/>
              </w:rPr>
            </w:pPr>
            <w:hyperlink r:id="rId6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https://www.dof.gob.mx/nota_detalle.php?codigo=5785290&amp;fecha=20/04/2026#gsc.tab=0</w:t>
              </w:r>
            </w:hyperlink>
          </w:p>
        </w:tc>
      </w:tr>
      <w:tr w14:paraId="4D13E66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A44D13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3D1AED71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proyecto tiene como objeto establecer las disposiciones obligatorias para la vigilancia epidemiológica, prevención y control de las Infecciones Asociadas a la Atención de Salud, a fin de fortalecer la seguridad del paciente, la calidad de la atención y disminuir el riesgo de complicaciones y defunciones.</w:t>
            </w:r>
          </w:p>
        </w:tc>
      </w:tr>
      <w:tr w14:paraId="04D991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F7A31B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DD30E5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641D5C9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9A4EFF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797337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3E9E60C7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5CF3987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NOM-003-SSA3-2010, Para la práctica de la hemodiálisis.</w:t>
            </w:r>
          </w:p>
          <w:p w:rsidR="00AF251E" w:rsidRPr="003A3E55" w:rsidP="005037AE" w14:paraId="082E10B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NOM-004-SSA3-2012, Del expediente clínico.</w:t>
            </w:r>
          </w:p>
          <w:p w:rsidR="00AF251E" w:rsidRPr="003A3E55" w:rsidP="005037AE" w14:paraId="6A42ED8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NOM-007-SSA3-2011, Para la organización y funcionamiento de los laboratorios clínicos.</w:t>
            </w:r>
          </w:p>
          <w:p w:rsidR="00AF251E" w:rsidRPr="003A3E55" w:rsidP="005037AE" w14:paraId="249F39B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NOM-012-SSA3-2012, Que establece los criterios para la ejecución de proyectos de investigación para la salud en seres humanos.</w:t>
            </w:r>
          </w:p>
          <w:p w:rsidR="00AF251E" w:rsidRPr="003A3E55" w:rsidP="005037AE" w14:paraId="0B76345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NOM-016-SSA3-2012, Que establece las características mínimas de infraestructura y equipamiento de hospitales y consultorios de atención médica especializada.</w:t>
            </w:r>
          </w:p>
          <w:p w:rsidR="00AF251E" w:rsidRPr="003A3E55" w:rsidP="005037AE" w14:paraId="50C2C80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NOM-017-SSA2-2012, Para la vigilancia epidemiológica.</w:t>
            </w:r>
          </w:p>
          <w:p w:rsidR="00AF251E" w:rsidRPr="003A3E55" w:rsidP="005037AE" w14:paraId="5B81310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NOM-022-SSA3-2012, Que instituye las condiciones para la administración de la terapia de infusión en los Estados Unidos Mexicanos.</w:t>
            </w:r>
          </w:p>
          <w:p w:rsidR="00AF251E" w:rsidRPr="003A3E55" w:rsidP="005037AE" w14:paraId="06439E8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NOM-025-SSA3-2013, Para la organización y funcionamiento de las unidades de cuidados intensivos.</w:t>
            </w:r>
          </w:p>
          <w:p w:rsidR="00AF251E" w:rsidRPr="003A3E55" w:rsidP="005037AE" w14:paraId="6B24B27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NOM-087-SEMARNAT/SSA1-2002, Protección Ambiental - Salud ambiental – Residuos Peligrosos Biológico-Infecciosos - Clasificación y Especificaciones de Manejo.</w:t>
            </w:r>
          </w:p>
          <w:p w:rsidR="00AF251E" w:rsidRPr="003A3E55" w:rsidP="005037AE" w14:paraId="79DEBBB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NOM-127-SSA1-2021, Agua para uso y consumo humano. Límites permisibles de la calidad del agua.</w:t>
            </w:r>
          </w:p>
          <w:p w:rsidR="00AF251E" w:rsidRPr="003A3E55" w:rsidP="005037AE" w14:paraId="70D468D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NOM-131-SSA1-2012. Productos y servicios. Fórmulas para lactantes, de continuación y para necesidades especiales de nutrición. Alimentos y bebidas no alcohólicas para lactantes y niños de corta edad. Disposiciones y especificaciones sanitarias y nutrimentales. Etiquetado y métodos de prueba.</w:t>
            </w:r>
          </w:p>
          <w:p w:rsidR="00AF251E" w:rsidRPr="003A3E55" w:rsidP="005037AE" w14:paraId="1FC8039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NOM-179-SSA1-2020, Agua para uso y consumo humano. Control de la calidad del agua distribuida por los sistemas de abastecimiento de agua.</w:t>
            </w:r>
          </w:p>
          <w:p w:rsidR="00AF251E" w:rsidRPr="003A3E55" w:rsidP="005037AE" w14:paraId="573D68F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NOM-241-SSA1-2025, Buenas prácticas de fabricación de dispositivos médicos.</w:t>
            </w:r>
          </w:p>
          <w:p w:rsidR="00AF251E" w:rsidRPr="003A3E55" w:rsidP="005037AE" w14:paraId="69F12B7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NOM-251-SSA1-2009, Prácticas de higiene para el proceso de alimentos, bebidas o suplementos alimenticios.</w:t>
            </w:r>
          </w:p>
        </w:tc>
      </w:tr>
      <w:tr w14:paraId="27CD7EF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576811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E4461C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60689949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18C0213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118D278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F31E5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8502DF6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29 de junio de 2026</w:t>
            </w:r>
          </w:p>
          <w:p w:rsidR="005F0B7B" w:rsidRPr="000C0749" w:rsidP="005F0B7B" w14:paraId="670032A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DA4D77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7E9AD32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2AA611E9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4009DAB5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55181B08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18D1F479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499C9561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171B98C3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1DC82E67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3023620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656117C4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2797FBA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A82C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50E82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89DF4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EB4A7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C501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G/TBT/N/MEX/564</w:t>
    </w:r>
    <w:bookmarkEnd w:id="0"/>
  </w:p>
  <w:p w:rsidR="00B531D9" w:rsidRPr="003A3E55" w:rsidP="00B531D9" w14:paraId="01DF8B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7EBBC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99C21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54A88E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0C8DC5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4BB020E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8B012B3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07722FF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2A7568C" w14:textId="77777777">
          <w:pPr>
            <w:jc w:val="right"/>
            <w:rPr>
              <w:b/>
              <w:szCs w:val="18"/>
            </w:rPr>
          </w:pPr>
        </w:p>
      </w:tc>
    </w:tr>
    <w:tr w14:paraId="7DC2711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5CA2EB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86E626B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G/TBT/N/MEX/564</w:t>
          </w:r>
          <w:bookmarkEnd w:id="2"/>
        </w:p>
      </w:tc>
    </w:tr>
    <w:tr w14:paraId="0F382B9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77997D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EC2B8C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abril de 2026</w:t>
          </w:r>
          <w:bookmarkEnd w:id="3"/>
          <w:bookmarkEnd w:id="4"/>
        </w:p>
      </w:tc>
    </w:tr>
    <w:tr w14:paraId="29506961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8ED5D20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(26-3260)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51A9EF1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6D34EF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CE78250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87EE2E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38A646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73459971">
    <w:abstractNumId w:val="8"/>
  </w:num>
  <w:num w:numId="2" w16cid:durableId="307708930">
    <w:abstractNumId w:val="3"/>
  </w:num>
  <w:num w:numId="3" w16cid:durableId="1263609496">
    <w:abstractNumId w:val="2"/>
  </w:num>
  <w:num w:numId="4" w16cid:durableId="505095213">
    <w:abstractNumId w:val="1"/>
  </w:num>
  <w:num w:numId="5" w16cid:durableId="1849715535">
    <w:abstractNumId w:val="0"/>
  </w:num>
  <w:num w:numId="6" w16cid:durableId="1814129458">
    <w:abstractNumId w:val="12"/>
  </w:num>
  <w:num w:numId="7" w16cid:durableId="1193958796">
    <w:abstractNumId w:val="10"/>
  </w:num>
  <w:num w:numId="8" w16cid:durableId="1734425048">
    <w:abstractNumId w:val="13"/>
  </w:num>
  <w:num w:numId="9" w16cid:durableId="347221907">
    <w:abstractNumId w:val="9"/>
  </w:num>
  <w:num w:numId="10" w16cid:durableId="1609771437">
    <w:abstractNumId w:val="7"/>
  </w:num>
  <w:num w:numId="11" w16cid:durableId="1039668032">
    <w:abstractNumId w:val="6"/>
  </w:num>
  <w:num w:numId="12" w16cid:durableId="1220361046">
    <w:abstractNumId w:val="5"/>
  </w:num>
  <w:num w:numId="13" w16cid:durableId="210044586">
    <w:abstractNumId w:val="4"/>
  </w:num>
  <w:num w:numId="14" w16cid:durableId="1809929538">
    <w:abstractNumId w:val="11"/>
  </w:num>
  <w:num w:numId="15" w16cid:durableId="14507359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208918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37199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2C85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5695B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B3A20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151CE"/>
    <w:rsid w:val="00F325A3"/>
    <w:rsid w:val="00F4794A"/>
    <w:rsid w:val="00F629A0"/>
    <w:rsid w:val="00F65DD3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CD0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MEX/26_02217_00_s.pdf" TargetMode="External" /><Relationship Id="rId6" Type="http://schemas.openxmlformats.org/officeDocument/2006/relationships/hyperlink" Target="https://www.dof.gob.mx/nota_detalle.php?codigo=5785290&amp;fecha=20/04/2026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D763360-647B-4D39-8516-CB6318AA0C9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4235</Characters>
  <Application>Microsoft Office Word</Application>
  <DocSecurity>0</DocSecurity>
  <Lines>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2026-04-30T12:04:00Z</dcterms:created>
  <dcterms:modified xsi:type="dcterms:W3CDTF">2026-04-30T12:13:00Z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