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374A545" w14:textId="77777777">
      <w:pPr>
        <w:pStyle w:val="Title"/>
      </w:pPr>
      <w:r w:rsidRPr="00EF68C9">
        <w:t>NOTIFICACIÓN</w:t>
      </w:r>
    </w:p>
    <w:p w:rsidR="002F663C" w:rsidRPr="00EF68C9" w:rsidP="00D31A79" w14:paraId="7CF50607" w14:textId="77777777">
      <w:pPr>
        <w:pStyle w:val="Title3"/>
      </w:pPr>
      <w:r w:rsidRPr="00EF68C9">
        <w:t>Addendum</w:t>
      </w:r>
    </w:p>
    <w:p w:rsidR="002F663C" w:rsidP="00B22706" w14:paraId="5EF54310" w14:textId="77777777">
      <w:r w:rsidRPr="00EF68C9">
        <w:t>La siguiente comunicación, de fecha 29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021A94DB" w14:textId="77777777">
      <w:pPr>
        <w:rPr>
          <w:rFonts w:eastAsia="Calibri" w:cs="Times New Roman"/>
        </w:rPr>
      </w:pPr>
    </w:p>
    <w:p w:rsidR="002F663C" w:rsidRPr="00EF68C9" w:rsidP="00EF68C9" w14:paraId="50CD597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0ED339E" w14:textId="77777777"/>
    <w:p w:rsidR="00B22706" w:rsidRPr="00EF68C9" w:rsidP="00EF68C9" w14:paraId="56E236FF" w14:textId="77777777"/>
    <w:p w:rsidR="002F663C" w:rsidRPr="00EF68C9" w:rsidP="00EF68C9" w14:paraId="3F64C58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Tercera Revisión del Reglamento Técnico RTE INEN 072 (3R), "Eficiencia energética para acondicionadores de aire sin ductos externos"</w:t>
      </w:r>
    </w:p>
    <w:p w:rsidR="002F663C" w:rsidRPr="00EF68C9" w:rsidP="00EF68C9" w14:paraId="17FBA82A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9D27270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C6F02F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CC461B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97CF3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9A7932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30FF8A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4E62F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DC1E8E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1B6F36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6C3BE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E800E7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8C1F78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A53F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087417C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30 de abril de 2026; El presente Reglamento Técnico Ecuatoriano RTE INEN 072 (3R) entrará en vigencia a partir del 30 de abril del 2026, sin perjuicio de su publicación en el Registro Oficial del Ecuador.</w:t>
            </w:r>
          </w:p>
        </w:tc>
      </w:tr>
      <w:tr w14:paraId="7CD7F9C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440D6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66431D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1A9BC3F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49787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4283D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6BFE40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F2095E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4BA02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4F072FD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1C289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216EB5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024ED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3C1EFBD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CE3205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444F65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50763C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778C098E" w14:textId="77777777">
            <w:pPr>
              <w:spacing w:before="120" w:after="120"/>
            </w:pPr>
            <w:r>
              <w:t>Tercera Revisión del Reglamento Técnico RTE INEN 072 (3R), "Eficiencia energética para acondicionadores de aire sin ductos externos"</w:t>
            </w:r>
          </w:p>
          <w:p w:rsidR="00C838A8" w:rsidP="00444BD5" w14:paraId="5257903C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https://members.wto.org/crnattachments/2026/TBT/ECU/26_02311_00_s.pdf</w:t>
              </w:r>
            </w:hyperlink>
          </w:p>
          <w:p w:rsidR="00C838A8" w:rsidP="00444BD5" w14:paraId="04452D2F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https://members.wto.org/crnattachments/2026/TBT/ECU/26_02311_01_s.pdf</w:t>
              </w:r>
            </w:hyperlink>
          </w:p>
        </w:tc>
      </w:tr>
    </w:tbl>
    <w:p w:rsidR="002F663C" w:rsidRPr="00EF68C9" w:rsidP="00EF68C9" w14:paraId="605B9EC3" w14:textId="77777777"/>
    <w:p w:rsidR="003918E9" w:rsidRPr="00F95856" w:rsidP="00B03883" w14:paraId="35E688DD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del Ecuador comunica la expedición de la </w:t>
      </w:r>
      <w:r w:rsidRPr="00EF68C9" w:rsidR="00EF68C9">
        <w:rPr>
          <w:i/>
          <w:iCs/>
        </w:rPr>
        <w:t>Resolución Nro. MPCEI-SC-2026-0067-R</w:t>
      </w:r>
      <w:r w:rsidRPr="00EF68C9" w:rsidR="00EF68C9">
        <w:t xml:space="preserve">, que contiene la </w:t>
      </w:r>
      <w:r w:rsidRPr="00EF68C9" w:rsidR="00EF68C9">
        <w:rPr>
          <w:i/>
          <w:iCs/>
        </w:rPr>
        <w:t>Tercera Revisión del Reglamento Técnico RTE INEN 072 (3R)</w:t>
      </w:r>
      <w:r w:rsidRPr="00EF68C9" w:rsidR="00EF68C9">
        <w:t xml:space="preserve">, "Eficiencia energética para acondicionadores de aire sin ductos externos". Este reglamento entrará </w:t>
      </w:r>
      <w:r w:rsidRPr="00EF68C9" w:rsidR="00EF68C9">
        <w:t xml:space="preserve">en vigencia el </w:t>
      </w:r>
      <w:r w:rsidRPr="00EF68C9" w:rsidR="00EF68C9">
        <w:rPr>
          <w:i/>
          <w:iCs/>
        </w:rPr>
        <w:t>30 de abril de 2026</w:t>
      </w:r>
      <w:r w:rsidRPr="00EF68C9" w:rsidR="00EF68C9">
        <w:t>, independientemente de su fecha de publicación en el Registro Oficial.</w:t>
      </w:r>
    </w:p>
    <w:p w:rsidR="00EF68C9" w:rsidRPr="00EF68C9" w:rsidP="00B03883" w14:paraId="681D60F2" w14:textId="77777777">
      <w:pPr>
        <w:spacing w:before="120" w:after="120"/>
      </w:pPr>
      <w:r w:rsidRPr="00EF68C9">
        <w:t xml:space="preserve">El proceso de oficialización cumplió con lo estipulado en el Acuerdo sobre Obstáculos Técnicos al Comercio de la </w:t>
      </w:r>
      <w:r w:rsidRPr="00EF68C9">
        <w:rPr>
          <w:i/>
          <w:iCs/>
        </w:rPr>
        <w:t>OMC</w:t>
      </w:r>
      <w:r w:rsidRPr="00EF68C9">
        <w:t xml:space="preserve"> y la </w:t>
      </w:r>
      <w:r w:rsidRPr="00EF68C9">
        <w:rPr>
          <w:i/>
          <w:iCs/>
        </w:rPr>
        <w:t>Decisión 827 de la CAN</w:t>
      </w:r>
      <w:r w:rsidRPr="00EF68C9">
        <w:t>. El proyecto fue sometido a consulta pública en las plataformas ePing y SIRT del 30 de enero al 31 de marzo de 2026; todas las observaciones recibidas fueron analizadas por el organismo competente y respondidas oportunamente a los observantes.</w:t>
      </w:r>
    </w:p>
    <w:p w:rsidR="00D60927" w:rsidRPr="00B22706" w:rsidP="003918E9" w14:paraId="4A1D1BE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381127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E11881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FBA071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EE5E9E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F4FAD1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617BAE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D65CC2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555F2E0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C1C48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G/TBT/N/ECU/394/Rev.2/Add.1</w:t>
    </w:r>
    <w:bookmarkEnd w:id="9"/>
  </w:p>
  <w:p w:rsidR="00470C19" w:rsidP="00583508" w14:paraId="341BF5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FA235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66741D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88C0EE2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023BF1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3A4D465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25545B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C61812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CCDB26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574D9A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6ECE563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G/TBT/N/ECU/394/Rev.2/Add.1</w:t>
          </w:r>
          <w:bookmarkEnd w:id="16"/>
        </w:p>
      </w:tc>
    </w:tr>
    <w:tr w14:paraId="50BF623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A41E52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D019509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30 de abril de 2026</w:t>
          </w:r>
          <w:bookmarkEnd w:id="17"/>
        </w:p>
      </w:tc>
    </w:tr>
    <w:tr w14:paraId="72BEA644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926EF87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(26-3253)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5C0064E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8A4FBE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6FD66E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262856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C601F2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203793">
    <w:abstractNumId w:val="9"/>
  </w:num>
  <w:num w:numId="2" w16cid:durableId="345907377">
    <w:abstractNumId w:val="7"/>
  </w:num>
  <w:num w:numId="3" w16cid:durableId="1168444996">
    <w:abstractNumId w:val="6"/>
  </w:num>
  <w:num w:numId="4" w16cid:durableId="391924930">
    <w:abstractNumId w:val="5"/>
  </w:num>
  <w:num w:numId="5" w16cid:durableId="1975985868">
    <w:abstractNumId w:val="4"/>
  </w:num>
  <w:num w:numId="6" w16cid:durableId="1125927975">
    <w:abstractNumId w:val="12"/>
  </w:num>
  <w:num w:numId="7" w16cid:durableId="602877620">
    <w:abstractNumId w:val="11"/>
  </w:num>
  <w:num w:numId="8" w16cid:durableId="1747338505">
    <w:abstractNumId w:val="10"/>
  </w:num>
  <w:num w:numId="9" w16cid:durableId="1915317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0965106">
    <w:abstractNumId w:val="13"/>
  </w:num>
  <w:num w:numId="11" w16cid:durableId="1914660774">
    <w:abstractNumId w:val="8"/>
  </w:num>
  <w:num w:numId="12" w16cid:durableId="1615088814">
    <w:abstractNumId w:val="3"/>
  </w:num>
  <w:num w:numId="13" w16cid:durableId="1206285597">
    <w:abstractNumId w:val="2"/>
  </w:num>
  <w:num w:numId="14" w16cid:durableId="1149324814">
    <w:abstractNumId w:val="1"/>
  </w:num>
  <w:num w:numId="15" w16cid:durableId="2077587704">
    <w:abstractNumId w:val="0"/>
  </w:num>
  <w:num w:numId="16" w16cid:durableId="164661965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1854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21D6D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B3C47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ADA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ECU/26_02311_00_s.pdf" TargetMode="External" /><Relationship Id="rId8" Type="http://schemas.openxmlformats.org/officeDocument/2006/relationships/hyperlink" Target="https://members.wto.org/crnattachments/2026/TBT/ECU/26_02311_01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940FFE-FC29-4E3F-97A7-917D1174E20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2026-04-30T07:43:00Z</dcterms:created>
  <dcterms:modified xsi:type="dcterms:W3CDTF">2026-04-30T07:43:00Z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