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0D98A87" w14:textId="77777777">
      <w:pPr>
        <w:pStyle w:val="Title"/>
      </w:pPr>
      <w:r w:rsidRPr="002F663C">
        <w:t>NOTIFICATION</w:t>
      </w:r>
    </w:p>
    <w:p w:rsidR="002F663C" w:rsidRPr="002F663C" w:rsidP="00DD3DD7" w14:paraId="14A44AAB" w14:textId="77777777">
      <w:pPr>
        <w:pStyle w:val="Title3"/>
      </w:pPr>
      <w:r w:rsidRPr="002F663C">
        <w:t>Addendum</w:t>
      </w:r>
    </w:p>
    <w:p w:rsidR="002F663C" w:rsidP="001E2E4A" w14:paraId="7DD12BA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20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5C83B174" w14:textId="77777777">
      <w:pPr>
        <w:rPr>
          <w:rFonts w:eastAsia="Calibri" w:cs="Times New Roman"/>
        </w:rPr>
      </w:pPr>
    </w:p>
    <w:p w:rsidR="002F663C" w:rsidRPr="002F663C" w:rsidP="002F663C" w14:paraId="433B939F" w14:textId="77777777">
      <w:pPr>
        <w:jc w:val="center"/>
        <w:rPr>
          <w:rFonts w:eastAsia="Calibri" w:cs="Times New Roman"/>
          <w:b/>
        </w:rPr>
      </w:pPr>
      <w:r w:rsidRPr="002F663C">
        <w:rPr>
          <w:rFonts w:eastAsia="Calibri" w:cs="Times New Roman"/>
          <w:b/>
        </w:rPr>
        <w:t>_______________</w:t>
      </w:r>
    </w:p>
    <w:p w:rsidR="002F663C" w:rsidP="002F663C" w14:paraId="5F9B047D" w14:textId="77777777">
      <w:pPr>
        <w:rPr>
          <w:rFonts w:eastAsia="Calibri" w:cs="Times New Roman"/>
        </w:rPr>
      </w:pPr>
    </w:p>
    <w:p w:rsidR="00C14444" w:rsidRPr="002F663C" w:rsidP="002F663C" w14:paraId="5908256C" w14:textId="77777777">
      <w:pPr>
        <w:rPr>
          <w:rFonts w:eastAsia="Calibri" w:cs="Times New Roman"/>
        </w:rPr>
      </w:pPr>
    </w:p>
    <w:p w:rsidR="002F663C" w:rsidRPr="002F663C" w:rsidP="002F663C" w14:paraId="28907D4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Safety Standard for Infant and Cradle Swings</w:t>
      </w:r>
    </w:p>
    <w:p w:rsidR="002F663C" w:rsidRPr="002F663C" w:rsidP="002F663C" w14:paraId="4A23970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FD8EEB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265361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179AABE" w14:textId="77777777" w:rsidTr="00E9471B">
        <w:tblPrEx>
          <w:tblW w:w="9049" w:type="dxa"/>
          <w:tblLayout w:type="fixed"/>
          <w:tblLook w:val="04A0"/>
        </w:tblPrEx>
        <w:tc>
          <w:tcPr>
            <w:tcW w:w="851" w:type="dxa"/>
          </w:tcPr>
          <w:p w:rsidR="002F663C" w:rsidRPr="00711F9C" w:rsidP="00C14444" w14:paraId="1049CA1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9DA299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321908B" w14:textId="77777777" w:rsidTr="00E9471B">
        <w:tblPrEx>
          <w:tblW w:w="9049" w:type="dxa"/>
          <w:tblLayout w:type="fixed"/>
          <w:tblLook w:val="04A0"/>
        </w:tblPrEx>
        <w:tc>
          <w:tcPr>
            <w:tcW w:w="851" w:type="dxa"/>
          </w:tcPr>
          <w:p w:rsidR="002F663C" w:rsidRPr="00711F9C" w:rsidP="00C14444" w14:paraId="739819A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1D2BA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BD8EC04" w14:textId="77777777" w:rsidTr="00E9471B">
        <w:tblPrEx>
          <w:tblW w:w="9049" w:type="dxa"/>
          <w:tblLayout w:type="fixed"/>
          <w:tblLook w:val="04A0"/>
        </w:tblPrEx>
        <w:tc>
          <w:tcPr>
            <w:tcW w:w="851" w:type="dxa"/>
          </w:tcPr>
          <w:p w:rsidR="002F663C" w:rsidRPr="00711F9C" w:rsidP="00C14444" w14:paraId="49B318A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6C4ED8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20 April 2026</w:t>
            </w:r>
          </w:p>
        </w:tc>
      </w:tr>
      <w:tr w14:paraId="03852EA8" w14:textId="77777777" w:rsidTr="00E9471B">
        <w:tblPrEx>
          <w:tblW w:w="9049" w:type="dxa"/>
          <w:tblLayout w:type="fixed"/>
          <w:tblLook w:val="04A0"/>
        </w:tblPrEx>
        <w:tc>
          <w:tcPr>
            <w:tcW w:w="851" w:type="dxa"/>
          </w:tcPr>
          <w:p w:rsidR="002F663C" w:rsidRPr="00711F9C" w:rsidP="00C14444" w14:paraId="4BE35A7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C11D78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25 July 2026; unless CPSC receives a significant adverse comment by 20 May 2026. If CPSC receives such a comment, it will publish a document in the Federal Register, withdrawing this direct final rule before its effective date. The incorporation by reference of certain material listed in this rule is approved by the Director of the Federal Register as of 25 July 2026.</w:t>
            </w:r>
          </w:p>
        </w:tc>
      </w:tr>
      <w:tr w14:paraId="3F15D2DA" w14:textId="77777777" w:rsidTr="00E9471B">
        <w:tblPrEx>
          <w:tblW w:w="9049" w:type="dxa"/>
          <w:tblLayout w:type="fixed"/>
          <w:tblLook w:val="04A0"/>
        </w:tblPrEx>
        <w:tc>
          <w:tcPr>
            <w:tcW w:w="851" w:type="dxa"/>
          </w:tcPr>
          <w:p w:rsidR="002F663C" w:rsidRPr="00711F9C" w:rsidP="00C14444" w14:paraId="275B9EE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0EBBC6B"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EA806B2"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https://members.wto.org/crnattachments/2026/TBT/USA/final_measure/26_02141_00_e.pdf</w:t>
              </w:r>
            </w:hyperlink>
          </w:p>
        </w:tc>
      </w:tr>
      <w:tr w14:paraId="3DA98AAF" w14:textId="77777777" w:rsidTr="00E9471B">
        <w:tblPrEx>
          <w:tblW w:w="9049" w:type="dxa"/>
          <w:tblLayout w:type="fixed"/>
          <w:tblLook w:val="04A0"/>
        </w:tblPrEx>
        <w:tc>
          <w:tcPr>
            <w:tcW w:w="851" w:type="dxa"/>
          </w:tcPr>
          <w:p w:rsidR="002F663C" w:rsidRPr="00711F9C" w:rsidP="00C14444" w14:paraId="4346C1B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C81B4F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7081F6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D3CB3D4" w14:textId="77777777" w:rsidTr="00E9471B">
        <w:tblPrEx>
          <w:tblW w:w="9049" w:type="dxa"/>
          <w:tblLayout w:type="fixed"/>
          <w:tblLook w:val="04A0"/>
        </w:tblPrEx>
        <w:tc>
          <w:tcPr>
            <w:tcW w:w="851" w:type="dxa"/>
          </w:tcPr>
          <w:p w:rsidR="002F663C" w:rsidRPr="00711F9C" w:rsidP="00C14444" w14:paraId="2C3A345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FF7B6F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D33F4A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2679117" w14:textId="77777777" w:rsidTr="00E9471B">
        <w:tblPrEx>
          <w:tblW w:w="9049" w:type="dxa"/>
          <w:tblLayout w:type="fixed"/>
          <w:tblLook w:val="04A0"/>
        </w:tblPrEx>
        <w:tc>
          <w:tcPr>
            <w:tcW w:w="851" w:type="dxa"/>
          </w:tcPr>
          <w:p w:rsidR="002F663C" w:rsidRPr="00711F9C" w:rsidP="00C14444" w14:paraId="1CCBC93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0F3574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CB787F5" w14:textId="77777777" w:rsidTr="00E9471B">
        <w:tblPrEx>
          <w:tblW w:w="9049" w:type="dxa"/>
          <w:tblLayout w:type="fixed"/>
          <w:tblLook w:val="04A0"/>
        </w:tblPrEx>
        <w:tc>
          <w:tcPr>
            <w:tcW w:w="851" w:type="dxa"/>
            <w:tcBorders>
              <w:bottom w:val="double" w:sz="4" w:space="0" w:color="auto"/>
            </w:tcBorders>
          </w:tcPr>
          <w:p w:rsidR="002F663C" w:rsidRPr="00711F9C" w:rsidP="00C14444" w14:paraId="7A35DA7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F0B39D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7E7B684" w14:textId="77777777">
      <w:pPr>
        <w:jc w:val="left"/>
        <w:rPr>
          <w:rFonts w:eastAsia="Calibri" w:cs="Times New Roman"/>
          <w:highlight w:val="yellow"/>
        </w:rPr>
      </w:pPr>
    </w:p>
    <w:p w:rsidR="003971FF" w:rsidRPr="007F6EA2" w:rsidP="00B16ACF" w14:paraId="6F51D12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Direct final rule - In May 2024, the U.S. Consumer Product Safety Commission (CPSC or Commission) published an update to the consumer product safety standard for infant and cradle swings under the Consumer Product Safety Improvement Act of 2008 (</w:t>
      </w:r>
      <w:hyperlink r:id="rId8" w:history="1">
        <w:r w:rsidRPr="002F663C">
          <w:rPr>
            <w:rFonts w:eastAsia="Calibri" w:cs="Times New Roman"/>
            <w:color w:val="0000FF"/>
            <w:szCs w:val="18"/>
            <w:u w:val="single"/>
          </w:rPr>
          <w:t>CPSIA</w:t>
        </w:r>
      </w:hyperlink>
      <w:r w:rsidRPr="002F663C">
        <w:rPr>
          <w:rFonts w:eastAsia="Calibri" w:cs="Times New Roman"/>
          <w:szCs w:val="18"/>
        </w:rPr>
        <w:t xml:space="preserve">). The standard incorporated by reference </w:t>
      </w:r>
      <w:hyperlink r:id="rId9" w:history="1">
        <w:r w:rsidRPr="002F663C">
          <w:rPr>
            <w:rFonts w:eastAsia="Calibri" w:cs="Times New Roman"/>
            <w:color w:val="0000FF"/>
            <w:szCs w:val="18"/>
            <w:u w:val="single"/>
          </w:rPr>
          <w:t>ASTM F2088-24</w:t>
        </w:r>
      </w:hyperlink>
      <w:r w:rsidRPr="002F663C">
        <w:rPr>
          <w:rFonts w:eastAsia="Calibri" w:cs="Times New Roman"/>
          <w:szCs w:val="18"/>
        </w:rPr>
        <w:t xml:space="preserve">, Standard Consumer Safety Specification for Infant and Cradle Swings, the voluntary standard for infant and cradle swings that was in effect at the time. ASTM has now issued a revised standard, </w:t>
      </w:r>
      <w:hyperlink r:id="rId10" w:history="1">
        <w:r w:rsidRPr="002F663C">
          <w:rPr>
            <w:rFonts w:eastAsia="Calibri" w:cs="Times New Roman"/>
            <w:color w:val="0000FF"/>
            <w:szCs w:val="18"/>
            <w:u w:val="single"/>
          </w:rPr>
          <w:t>ASTM F2088-25</w:t>
        </w:r>
      </w:hyperlink>
      <w:r w:rsidRPr="002F663C">
        <w:rPr>
          <w:rFonts w:eastAsia="Calibri" w:cs="Times New Roman"/>
          <w:szCs w:val="18"/>
        </w:rPr>
        <w:t>. Consistent with the CPSIA, this direct final rule updates the mandatory standard to incorporate by reference ASTM's 2025 version of the voluntary standard.</w:t>
      </w:r>
    </w:p>
    <w:p w:rsidR="005F6E9B" w:rsidRPr="002F663C" w:rsidP="00B16ACF" w14:paraId="30D2826A" w14:textId="77777777">
      <w:pPr>
        <w:spacing w:before="120" w:after="120"/>
        <w:rPr>
          <w:rFonts w:eastAsia="Calibri" w:cs="Times New Roman"/>
          <w:szCs w:val="18"/>
        </w:rPr>
      </w:pPr>
      <w:r w:rsidRPr="002F663C">
        <w:rPr>
          <w:rFonts w:eastAsia="Calibri" w:cs="Times New Roman"/>
          <w:szCs w:val="18"/>
        </w:rPr>
        <w:t>The rule is effective on 25 July 2026, unless CPSC receives a significant adverse comment by 20 May 2026. If CPSC receives such a comment, it will publish a document in the Federal Register, withdrawing this direct final rule before its effective date. The incorporation by reference of certain material listed in this rule is approved by the Director of the Federal Register as of 25 July 2026.</w:t>
      </w:r>
    </w:p>
    <w:p w:rsidR="005F6E9B" w:rsidRPr="002F663C" w:rsidP="00B16ACF" w14:paraId="16E1F90C" w14:textId="77777777">
      <w:pPr>
        <w:spacing w:before="120" w:after="120"/>
        <w:rPr>
          <w:rFonts w:eastAsia="Calibri" w:cs="Times New Roman"/>
          <w:szCs w:val="18"/>
        </w:rPr>
      </w:pPr>
      <w:r w:rsidRPr="002F663C">
        <w:rPr>
          <w:rFonts w:eastAsia="Calibri" w:cs="Times New Roman"/>
          <w:szCs w:val="18"/>
        </w:rPr>
        <w:t xml:space="preserve">91 Federal Register (FR) 20875, 20 April 2026; </w:t>
      </w:r>
      <w:hyperlink r:id="rId11" w:history="1">
        <w:r w:rsidRPr="002F663C">
          <w:rPr>
            <w:rFonts w:eastAsia="Calibri" w:cs="Times New Roman"/>
            <w:color w:val="0000FF"/>
            <w:szCs w:val="18"/>
            <w:u w:val="single"/>
          </w:rPr>
          <w:t>Title 16 Code of Federal Regulations (CFR) Part 1223</w:t>
        </w:r>
      </w:hyperlink>
      <w:r w:rsidRPr="002F663C">
        <w:rPr>
          <w:rFonts w:eastAsia="Calibri" w:cs="Times New Roman"/>
          <w:szCs w:val="18"/>
        </w:rPr>
        <w:t>:</w:t>
      </w:r>
    </w:p>
    <w:p w:rsidR="005F6E9B" w:rsidRPr="002F663C" w:rsidP="00B16ACF" w14:paraId="761C0158"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https://www.govinfo.gov/content/pkg/FR-2026-04-20/html/2026-07638.htm</w:t>
        </w:r>
      </w:hyperlink>
    </w:p>
    <w:p w:rsidR="005F6E9B" w:rsidRPr="002F663C" w:rsidP="00B16ACF" w14:paraId="2B6C91D1"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https://www.govinfo.gov/content/pkg/FR-2026-04-20/pdf/2026-07638.pdf</w:t>
        </w:r>
      </w:hyperlink>
    </w:p>
    <w:p w:rsidR="005F6E9B" w:rsidRPr="002F663C" w:rsidP="00B16ACF" w14:paraId="7F22DAB6"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4" w:history="1">
        <w:r w:rsidRPr="002F663C">
          <w:rPr>
            <w:rFonts w:eastAsia="Calibri" w:cs="Times New Roman"/>
            <w:color w:val="0000FF"/>
            <w:szCs w:val="18"/>
            <w:u w:val="single"/>
          </w:rPr>
          <w:t>G/TBT/N/USA/681</w:t>
        </w:r>
      </w:hyperlink>
      <w:r w:rsidRPr="002F663C">
        <w:rPr>
          <w:rFonts w:eastAsia="Calibri" w:cs="Times New Roman"/>
          <w:szCs w:val="18"/>
        </w:rPr>
        <w:t xml:space="preserve"> are identified by Docket Number CPSC-2013-0025. The Docket Folder is available on Regulations.gov at </w:t>
      </w:r>
      <w:hyperlink r:id="rId15" w:history="1">
        <w:r w:rsidRPr="002F663C">
          <w:rPr>
            <w:rFonts w:eastAsia="Calibri" w:cs="Times New Roman"/>
            <w:color w:val="0000FF"/>
            <w:szCs w:val="18"/>
            <w:u w:val="single"/>
          </w:rPr>
          <w:t>https://www.regulations.gov/docket/CPSC-2013-0025/document</w:t>
        </w:r>
      </w:hyperlink>
      <w:r w:rsidRPr="002F663C">
        <w:rPr>
          <w:rFonts w:eastAsia="Calibri" w:cs="Times New Roman"/>
          <w:szCs w:val="18"/>
        </w:rPr>
        <w:t xml:space="preserve"> and provides access to primary and supporting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20 May 2026 will be shared with CPSC and will also be submitted to the </w:t>
      </w:r>
      <w:hyperlink r:id="rId15"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772D6582" w14:textId="77777777">
      <w:pPr>
        <w:jc w:val="center"/>
        <w:rPr>
          <w:b/>
        </w:rPr>
      </w:pPr>
      <w:r w:rsidRPr="003971FF">
        <w:rPr>
          <w:b/>
        </w:rPr>
        <w:t>__________</w:t>
      </w:r>
    </w:p>
    <w:p w:rsidR="004D4D19" w:rsidP="007F38C2" w14:paraId="239C33EC" w14:textId="77777777">
      <w:pPr>
        <w:jc w:val="center"/>
        <w:rPr>
          <w:b/>
        </w:rPr>
      </w:pPr>
    </w:p>
    <w:p w:rsidR="00A1565D" w:rsidP="003971FF" w14:paraId="3A80BCC7"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E76ABB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407495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79547AE" w14:textId="77777777">
      <w:r>
        <w:separator/>
      </w:r>
    </w:p>
  </w:footnote>
  <w:footnote w:type="continuationSeparator" w:id="1">
    <w:p w:rsidR="004D3A6A" w:rsidP="00ED54E0" w14:paraId="121A7B3C" w14:textId="77777777">
      <w:r>
        <w:continuationSeparator/>
      </w:r>
    </w:p>
  </w:footnote>
  <w:footnote w:id="2">
    <w:p w:rsidR="007F6EA2" w14:paraId="6CAEF59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685A0B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F725116" w14:textId="77777777">
    <w:pPr>
      <w:pStyle w:val="Header"/>
      <w:pBdr>
        <w:bottom w:val="single" w:sz="4" w:space="1" w:color="auto"/>
      </w:pBdr>
      <w:tabs>
        <w:tab w:val="clear" w:pos="4513"/>
        <w:tab w:val="clear" w:pos="9027"/>
      </w:tabs>
      <w:jc w:val="center"/>
    </w:pPr>
  </w:p>
  <w:p w:rsidR="00DD3DD7" w:rsidRPr="00DD3DD7" w:rsidP="00DD3DD7" w14:paraId="1F9D87F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975F9C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24D145C" w14:textId="77777777">
    <w:pPr>
      <w:pStyle w:val="Header"/>
      <w:pBdr>
        <w:bottom w:val="single" w:sz="4" w:space="1" w:color="auto"/>
      </w:pBdr>
      <w:tabs>
        <w:tab w:val="clear" w:pos="4513"/>
        <w:tab w:val="clear" w:pos="9027"/>
      </w:tabs>
      <w:jc w:val="center"/>
    </w:pPr>
    <w:bookmarkStart w:id="3" w:name="spsSymbolHeader"/>
    <w:r w:rsidRPr="00DD3DD7">
      <w:t>G/TBT/N/USA/681/Add.10</w:t>
    </w:r>
    <w:bookmarkEnd w:id="3"/>
  </w:p>
  <w:p w:rsidR="00DD3DD7" w:rsidRPr="00DD3DD7" w:rsidP="00DD3DD7" w14:paraId="5212E516" w14:textId="77777777">
    <w:pPr>
      <w:pStyle w:val="Header"/>
      <w:pBdr>
        <w:bottom w:val="single" w:sz="4" w:space="1" w:color="auto"/>
      </w:pBdr>
      <w:tabs>
        <w:tab w:val="clear" w:pos="4513"/>
        <w:tab w:val="clear" w:pos="9027"/>
      </w:tabs>
      <w:jc w:val="center"/>
    </w:pPr>
  </w:p>
  <w:p w:rsidR="00DD3DD7" w:rsidRPr="00DD3DD7" w:rsidP="00DD3DD7" w14:paraId="39EB6AC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76B98A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DFA92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FD3B56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7E3DE9B" w14:textId="77777777">
          <w:pPr>
            <w:jc w:val="right"/>
            <w:rPr>
              <w:b/>
              <w:color w:val="FF0000"/>
              <w:szCs w:val="16"/>
            </w:rPr>
          </w:pPr>
          <w:r>
            <w:rPr>
              <w:b/>
              <w:color w:val="FF0000"/>
              <w:szCs w:val="16"/>
            </w:rPr>
            <w:t xml:space="preserve"> </w:t>
          </w:r>
        </w:p>
      </w:tc>
    </w:tr>
    <w:tr w14:paraId="13A0705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E6892D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CD5DD87" w14:textId="77777777">
          <w:pPr>
            <w:jc w:val="right"/>
            <w:rPr>
              <w:b/>
              <w:szCs w:val="16"/>
            </w:rPr>
          </w:pPr>
        </w:p>
      </w:tc>
    </w:tr>
    <w:tr w14:paraId="67D5D6F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D0198F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155DE6D" w14:textId="77777777">
          <w:pPr>
            <w:jc w:val="right"/>
            <w:rPr>
              <w:rFonts w:eastAsia="Calibri" w:cs="Times New Roman"/>
              <w:b/>
              <w:szCs w:val="16"/>
            </w:rPr>
          </w:pPr>
          <w:bookmarkStart w:id="4" w:name="bmkSymbols"/>
          <w:r w:rsidRPr="002F663C">
            <w:rPr>
              <w:rFonts w:eastAsia="Calibri" w:cs="Times New Roman"/>
              <w:b/>
              <w:szCs w:val="16"/>
            </w:rPr>
            <w:t>G/TBT/N/USA/681/Add.10</w:t>
          </w:r>
          <w:bookmarkEnd w:id="4"/>
        </w:p>
        <w:p w:rsidR="00C14444" w:rsidRPr="00C14444" w:rsidP="00C14444" w14:paraId="2642B2E6" w14:textId="77777777">
          <w:pPr>
            <w:jc w:val="center"/>
            <w:rPr>
              <w:szCs w:val="16"/>
            </w:rPr>
          </w:pPr>
        </w:p>
      </w:tc>
    </w:tr>
    <w:tr w14:paraId="3720CA0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1A52238" w14:textId="77777777"/>
      </w:tc>
      <w:tc>
        <w:tcPr>
          <w:tcW w:w="5448" w:type="dxa"/>
          <w:gridSpan w:val="2"/>
          <w:shd w:val="clear" w:color="auto" w:fill="FFFFFF"/>
          <w:tcMar>
            <w:left w:w="108" w:type="dxa"/>
            <w:right w:w="108" w:type="dxa"/>
          </w:tcMar>
          <w:vAlign w:val="center"/>
        </w:tcPr>
        <w:p w:rsidR="00ED54E0" w:rsidRPr="00182B84" w:rsidP="00425DC5" w14:paraId="071E7951" w14:textId="77777777">
          <w:pPr>
            <w:jc w:val="right"/>
            <w:rPr>
              <w:szCs w:val="16"/>
            </w:rPr>
          </w:pPr>
          <w:bookmarkStart w:id="5" w:name="bmkDate"/>
          <w:r w:rsidRPr="00182B84">
            <w:rPr>
              <w:szCs w:val="16"/>
            </w:rPr>
            <w:t>21 April 2026</w:t>
          </w:r>
          <w:bookmarkEnd w:id="5"/>
        </w:p>
      </w:tc>
    </w:tr>
    <w:tr w14:paraId="1A0EDA0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FF351D2" w14:textId="77777777">
          <w:pPr>
            <w:jc w:val="left"/>
            <w:rPr>
              <w:b/>
            </w:rPr>
          </w:pPr>
          <w:bookmarkStart w:id="6" w:name="bmkSerial"/>
          <w:r>
            <w:rPr>
              <w:rFonts w:ascii="Verdana" w:eastAsia="Verdana" w:hAnsi="Verdana" w:cs="Verdana"/>
              <w:b w:val="0"/>
              <w:color w:val="FF0000"/>
              <w:sz w:val="18"/>
            </w:rPr>
            <w:t>(26-3017)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496D8F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1AEDDF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6CFAF1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87BD53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C854D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92029573">
    <w:abstractNumId w:val="9"/>
  </w:num>
  <w:num w:numId="2" w16cid:durableId="765080399">
    <w:abstractNumId w:val="7"/>
  </w:num>
  <w:num w:numId="3" w16cid:durableId="1061367832">
    <w:abstractNumId w:val="6"/>
  </w:num>
  <w:num w:numId="4" w16cid:durableId="1516770634">
    <w:abstractNumId w:val="5"/>
  </w:num>
  <w:num w:numId="5" w16cid:durableId="457065673">
    <w:abstractNumId w:val="4"/>
  </w:num>
  <w:num w:numId="6" w16cid:durableId="215357022">
    <w:abstractNumId w:val="12"/>
  </w:num>
  <w:num w:numId="7" w16cid:durableId="533733308">
    <w:abstractNumId w:val="11"/>
  </w:num>
  <w:num w:numId="8" w16cid:durableId="1809129660">
    <w:abstractNumId w:val="10"/>
  </w:num>
  <w:num w:numId="9" w16cid:durableId="341512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3224724">
    <w:abstractNumId w:val="13"/>
  </w:num>
  <w:num w:numId="11" w16cid:durableId="305473560">
    <w:abstractNumId w:val="8"/>
  </w:num>
  <w:num w:numId="12" w16cid:durableId="705520239">
    <w:abstractNumId w:val="3"/>
  </w:num>
  <w:num w:numId="13" w16cid:durableId="1320354222">
    <w:abstractNumId w:val="2"/>
  </w:num>
  <w:num w:numId="14" w16cid:durableId="807474488">
    <w:abstractNumId w:val="1"/>
  </w:num>
  <w:num w:numId="15" w16cid:durableId="1760635434">
    <w:abstractNumId w:val="0"/>
  </w:num>
  <w:num w:numId="16" w16cid:durableId="150373698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5F6E9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17A30"/>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57C87"/>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8485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tore.astm.org/f2088-25.html" TargetMode="External" /><Relationship Id="rId11" Type="http://schemas.openxmlformats.org/officeDocument/2006/relationships/hyperlink" Target="https://www.ecfr.gov/current/title-16/chapter-II/subchapter-B/part-1223" TargetMode="External" /><Relationship Id="rId12" Type="http://schemas.openxmlformats.org/officeDocument/2006/relationships/hyperlink" Target="https://www.govinfo.gov/content/pkg/FR-2026-04-20/html/2026-07638.htm" TargetMode="External" /><Relationship Id="rId13" Type="http://schemas.openxmlformats.org/officeDocument/2006/relationships/hyperlink" Target="https://www.govinfo.gov/content/pkg/FR-2026-04-20/pdf/2026-07638.pdf" TargetMode="External" /><Relationship Id="rId14" Type="http://schemas.openxmlformats.org/officeDocument/2006/relationships/hyperlink" Target="https://eping.wto.org/en/Search?domainIds=1&amp;documentSymbol=usa%2F681" TargetMode="External" /><Relationship Id="rId15" Type="http://schemas.openxmlformats.org/officeDocument/2006/relationships/hyperlink" Target="https://www.regulations.gov/docket/CPSC-2013-0025/document" TargetMode="External" /><Relationship Id="rId16" Type="http://schemas.openxmlformats.org/officeDocument/2006/relationships/hyperlink" Target="http://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24timezones.com/time-zone/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141_00_e.pdf" TargetMode="External" /><Relationship Id="rId8" Type="http://schemas.openxmlformats.org/officeDocument/2006/relationships/hyperlink" Target="https://www.cpsc.gov/Regulations-Laws--Standards/Statutes/The-Consumer-Product-Safety-Improvement-Act" TargetMode="External" /><Relationship Id="rId9" Type="http://schemas.openxmlformats.org/officeDocument/2006/relationships/hyperlink" Target="https://store.astm.org/f2088-24.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8E5AC3A-8760-4DF9-B946-355EFCBEAAC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2026-04-21T08:36:00Z</dcterms:created>
  <dcterms:modified xsi:type="dcterms:W3CDTF">2026-04-21T08:36:00Z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