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D47A103" w14:textId="77777777">
      <w:pPr>
        <w:pStyle w:val="Title"/>
      </w:pPr>
      <w:r w:rsidRPr="002F663C">
        <w:t>NOTIFICATION</w:t>
      </w:r>
    </w:p>
    <w:p w:rsidR="002F663C" w:rsidRPr="002F663C" w:rsidP="00DD3DD7" w14:paraId="5FF8B2D9" w14:textId="77777777">
      <w:pPr>
        <w:pStyle w:val="Title3"/>
      </w:pPr>
      <w:r w:rsidRPr="002F663C">
        <w:t>Addendum</w:t>
      </w:r>
    </w:p>
    <w:p w:rsidR="002F663C" w:rsidP="001E2E4A" w14:paraId="62F228F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F1A686A" w14:textId="77777777">
      <w:pPr>
        <w:rPr>
          <w:rFonts w:eastAsia="Calibri" w:cs="Times New Roman"/>
        </w:rPr>
      </w:pPr>
    </w:p>
    <w:p w:rsidR="002F663C" w:rsidRPr="002F663C" w:rsidP="002F663C" w14:paraId="33249EC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EECCE5B" w14:textId="77777777">
      <w:pPr>
        <w:rPr>
          <w:rFonts w:eastAsia="Calibri" w:cs="Times New Roman"/>
        </w:rPr>
      </w:pPr>
    </w:p>
    <w:p w:rsidR="00C14444" w:rsidRPr="002F663C" w:rsidP="002F663C" w14:paraId="7DB52F27" w14:textId="77777777">
      <w:pPr>
        <w:rPr>
          <w:rFonts w:eastAsia="Calibri" w:cs="Times New Roman"/>
        </w:rPr>
      </w:pPr>
    </w:p>
    <w:p w:rsidR="002F663C" w:rsidRPr="002F663C" w:rsidP="002F663C" w14:paraId="2ADEF0E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Proposed Framework Regulation Amendment: Clarifying Compliance Options for Importers </w:t>
      </w:r>
    </w:p>
    <w:p w:rsidR="002F663C" w:rsidRPr="002F663C" w:rsidP="002F663C" w14:paraId="45CD23B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A0CA55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9DEF93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39602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3041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057CE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9F2AB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F889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C60D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C733B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9888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C24F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23 March 2026</w:t>
            </w:r>
          </w:p>
        </w:tc>
      </w:tr>
      <w:tr w14:paraId="05EBEF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B119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43DE7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23 March 2026</w:t>
            </w:r>
          </w:p>
        </w:tc>
      </w:tr>
      <w:tr w14:paraId="5CEF82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5367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5B54AD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705420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https://dtsc.ca.gov/clarifying-compliance-options-for-importers/</w:t>
              </w:r>
            </w:hyperlink>
          </w:p>
          <w:p w:rsidR="002F663C" w:rsidRPr="002F663C" w:rsidP="00EB7B40" w14:paraId="1FC295D5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https://members.wto.org/crnattachments/2026/TBT/USA/final_measure/26_02130_00_e.pdf</w:t>
              </w:r>
            </w:hyperlink>
          </w:p>
          <w:p w:rsidR="002F663C" w:rsidRPr="002F663C" w:rsidP="00EB7B40" w14:paraId="06FAC1F5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https://members.wto.org/crnattachments/2026/TBT/USA/final_measure/26_02130_01_e.pdf</w:t>
              </w:r>
            </w:hyperlink>
          </w:p>
        </w:tc>
      </w:tr>
      <w:tr w14:paraId="656DB8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7273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CFD8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0B39BD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2B67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3DB8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ED69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5EA577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F3F3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3E98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27A03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BB871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2D186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B12CF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DE0A47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E125A3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This action by the California Department of Toxic Substances Control (DTSC) amends Safer Consumer Products regulations to further specify compliance standards for importers.</w:t>
      </w:r>
    </w:p>
    <w:p w:rsidR="00A540D4" w:rsidRPr="002F663C" w:rsidP="00B16ACF" w14:paraId="111C134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23 March 2026</w:t>
      </w:r>
    </w:p>
    <w:p w:rsidR="00A540D4" w:rsidRPr="002F663C" w:rsidP="00B16ACF" w14:paraId="7D1B503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Clarifying Compliance Options for Importers</w:t>
      </w:r>
    </w:p>
    <w:p w:rsidR="00A540D4" w:rsidRPr="002F663C" w:rsidP="00B16ACF" w14:paraId="1BE1699C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https://dtsc.ca.gov/clarifying-compliance-options-for-importers/</w:t>
        </w:r>
      </w:hyperlink>
    </w:p>
    <w:p w:rsidR="00A540D4" w:rsidRPr="002F663C" w:rsidP="00B16ACF" w14:paraId="319D437D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OAL Notice of Approval</w:t>
        </w:r>
      </w:hyperlink>
    </w:p>
    <w:p w:rsidR="00A540D4" w:rsidRPr="002F663C" w:rsidP="00B16ACF" w14:paraId="7932E6A0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Regulatory Text</w:t>
        </w:r>
      </w:hyperlink>
    </w:p>
    <w:p w:rsidR="00A540D4" w:rsidRPr="002F663C" w:rsidP="00B16ACF" w14:paraId="30C68E9F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Statement of Reasons (FSOR)</w:t>
        </w:r>
      </w:hyperlink>
    </w:p>
    <w:p w:rsidR="00A540D4" w:rsidRPr="002F663C" w:rsidP="00B16ACF" w14:paraId="4C5A45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California Notice Register, Number 14-Z, 3 April 2026, page 515:</w:t>
      </w:r>
    </w:p>
    <w:p w:rsidR="00A540D4" w:rsidRPr="002F663C" w:rsidP="00B16ACF" w14:paraId="3E253984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https://oal.ca.gov/wp-content/uploads/sites/166/2026/04/2026-Notice-Register-No.-14-Z-April-3-2026.pdf</w:t>
        </w:r>
      </w:hyperlink>
    </w:p>
    <w:p w:rsidR="006C5A96" w:rsidP="006C5A96" w14:paraId="351C402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7D6627A" w14:textId="77777777">
      <w:pPr>
        <w:jc w:val="center"/>
        <w:rPr>
          <w:b/>
        </w:rPr>
      </w:pPr>
    </w:p>
    <w:p w:rsidR="00A1565D" w:rsidP="003971FF" w14:paraId="168CA648" w14:textId="77777777">
      <w:pPr>
        <w:jc w:val="center"/>
        <w:rPr>
          <w:b/>
        </w:rPr>
      </w:pPr>
    </w:p>
    <w:sectPr w:rsidSect="006C5A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18F9B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E1895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884C5FE" w14:textId="77777777">
      <w:r>
        <w:separator/>
      </w:r>
    </w:p>
  </w:footnote>
  <w:footnote w:type="continuationSeparator" w:id="1">
    <w:p w:rsidR="004D3A6A" w:rsidP="00ED54E0" w14:paraId="0B18C36D" w14:textId="77777777">
      <w:r>
        <w:continuationSeparator/>
      </w:r>
    </w:p>
  </w:footnote>
  <w:footnote w:id="2">
    <w:p w:rsidR="007F6EA2" w14:paraId="33FF97B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C241F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E65F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0F0A7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B470F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8A3DC9" w:rsidP="00DD3DD7" w14:paraId="23A554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8A3DC9">
      <w:rPr>
        <w:lang w:val="es-ES"/>
      </w:rPr>
      <w:t>G/TBT/N/USA/2201/Add.1</w:t>
    </w:r>
    <w:bookmarkEnd w:id="3"/>
  </w:p>
  <w:p w:rsidR="00DD3DD7" w:rsidRPr="008A3DC9" w:rsidP="00DD3DD7" w14:paraId="189890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2FEDB3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D19BB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E529E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ADC74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C3B43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5A8491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B86265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478B443" w14:textId="77777777">
          <w:pPr>
            <w:jc w:val="right"/>
            <w:rPr>
              <w:b/>
              <w:szCs w:val="16"/>
            </w:rPr>
          </w:pPr>
        </w:p>
      </w:tc>
    </w:tr>
    <w:tr w14:paraId="600BD6A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085C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8A3DC9" w:rsidP="00DD3DD7" w14:paraId="1FDE25AE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8A3DC9">
            <w:rPr>
              <w:rFonts w:eastAsia="Calibri" w:cs="Times New Roman"/>
              <w:b/>
              <w:szCs w:val="16"/>
              <w:lang w:val="es-ES"/>
            </w:rPr>
            <w:t>G/TBT/N/USA/2201/Add.1</w:t>
          </w:r>
          <w:bookmarkEnd w:id="4"/>
        </w:p>
        <w:p w:rsidR="00C14444" w:rsidRPr="008A3DC9" w:rsidP="00C14444" w14:paraId="285856EF" w14:textId="77777777">
          <w:pPr>
            <w:jc w:val="center"/>
            <w:rPr>
              <w:szCs w:val="16"/>
              <w:lang w:val="es-ES"/>
            </w:rPr>
          </w:pPr>
        </w:p>
      </w:tc>
    </w:tr>
    <w:tr w14:paraId="28C0664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A3DC9" w:rsidP="00425DC5" w14:paraId="4137B278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C6769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April 2026</w:t>
          </w:r>
          <w:bookmarkEnd w:id="5"/>
        </w:p>
      </w:tc>
    </w:tr>
    <w:tr w14:paraId="2EE4BBE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1FBEE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(26-3006)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4EC78D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5B137E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0A5BA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69CB8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AB9A4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238577">
    <w:abstractNumId w:val="9"/>
  </w:num>
  <w:num w:numId="2" w16cid:durableId="1701663295">
    <w:abstractNumId w:val="7"/>
  </w:num>
  <w:num w:numId="3" w16cid:durableId="707797968">
    <w:abstractNumId w:val="6"/>
  </w:num>
  <w:num w:numId="4" w16cid:durableId="1438403346">
    <w:abstractNumId w:val="5"/>
  </w:num>
  <w:num w:numId="5" w16cid:durableId="45641085">
    <w:abstractNumId w:val="4"/>
  </w:num>
  <w:num w:numId="6" w16cid:durableId="2047371114">
    <w:abstractNumId w:val="12"/>
  </w:num>
  <w:num w:numId="7" w16cid:durableId="2061316180">
    <w:abstractNumId w:val="11"/>
  </w:num>
  <w:num w:numId="8" w16cid:durableId="1317032726">
    <w:abstractNumId w:val="10"/>
  </w:num>
  <w:num w:numId="9" w16cid:durableId="6829762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0033853">
    <w:abstractNumId w:val="13"/>
  </w:num>
  <w:num w:numId="11" w16cid:durableId="931086009">
    <w:abstractNumId w:val="8"/>
  </w:num>
  <w:num w:numId="12" w16cid:durableId="1599026211">
    <w:abstractNumId w:val="3"/>
  </w:num>
  <w:num w:numId="13" w16cid:durableId="1654599648">
    <w:abstractNumId w:val="2"/>
  </w:num>
  <w:num w:numId="14" w16cid:durableId="92482002">
    <w:abstractNumId w:val="1"/>
  </w:num>
  <w:num w:numId="15" w16cid:durableId="98062660">
    <w:abstractNumId w:val="0"/>
  </w:num>
  <w:num w:numId="16" w16cid:durableId="6637009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1D89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85CB9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5F3F7A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3DC9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40D4"/>
    <w:rsid w:val="00A6057A"/>
    <w:rsid w:val="00A72245"/>
    <w:rsid w:val="00A74017"/>
    <w:rsid w:val="00AA332C"/>
    <w:rsid w:val="00AA6B9C"/>
    <w:rsid w:val="00AB3D96"/>
    <w:rsid w:val="00AC27F8"/>
    <w:rsid w:val="00AC5CB1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620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tsc.ca.gov/wp-content/uploads/sites/31/2026/04/OAL-Approval_Clarifying-Compliance-Options-for-Importers.pdf" TargetMode="External" /><Relationship Id="rId11" Type="http://schemas.openxmlformats.org/officeDocument/2006/relationships/hyperlink" Target="https://dtsc.ca.gov/wp-content/uploads/sites/31/2026/04/Final-Regulation-Text_Clarifying-Compliance-Options-for-Importers-1.pdf" TargetMode="External" /><Relationship Id="rId12" Type="http://schemas.openxmlformats.org/officeDocument/2006/relationships/hyperlink" Target="https://dtsc.ca.gov/wp-content/uploads/sites/31/2026/04/FSOR_Clarifying-Compliance-Options-for-Importers-1.pdf" TargetMode="External" /><Relationship Id="rId13" Type="http://schemas.openxmlformats.org/officeDocument/2006/relationships/hyperlink" Target="https://oal.ca.gov/wp-content/uploads/sites/166/2026/04/2026-Notice-Register-No.-14-Z-April-3-2026.pdf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tsc.ca.gov/clarifying-compliance-options-for-importers/" TargetMode="External" /><Relationship Id="rId8" Type="http://schemas.openxmlformats.org/officeDocument/2006/relationships/hyperlink" Target="https://members.wto.org/crnattachments/2026/TBT/USA/final_measure/26_02130_00_e.pdf" TargetMode="External" /><Relationship Id="rId9" Type="http://schemas.openxmlformats.org/officeDocument/2006/relationships/hyperlink" Target="https://members.wto.org/crnattachments/2026/TBT/USA/final_measure/26_02130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08117-95AF-4517-97C4-C426A379CF6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186</Words>
  <Characters>1420</Characters>
  <Application>Microsoft Office Word</Application>
  <DocSecurity>0</DocSecurity>
  <Lines>50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2026-04-20T09:23:00Z</dcterms:created>
  <dcterms:modified xsi:type="dcterms:W3CDTF">2026-04-20T09:26:00Z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